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b/>
          <w:color w:val="auto"/>
          <w:spacing w:val="20"/>
          <w:kern w:val="10"/>
          <w:sz w:val="52"/>
          <w:szCs w:val="52"/>
          <w:lang w:eastAsia="zh-CN"/>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b/>
          <w:color w:val="auto"/>
          <w:spacing w:val="20"/>
          <w:kern w:val="10"/>
          <w:sz w:val="52"/>
          <w:szCs w:val="52"/>
          <w:lang w:eastAsia="zh-CN"/>
        </w:rPr>
      </w:pPr>
      <w:r>
        <w:rPr>
          <w:rFonts w:hint="eastAsia" w:ascii="宋体"/>
          <w:b/>
          <w:color w:val="auto"/>
          <w:spacing w:val="20"/>
          <w:kern w:val="10"/>
          <w:sz w:val="52"/>
          <w:szCs w:val="52"/>
          <w:lang w:eastAsia="zh-CN"/>
        </w:rPr>
        <w:t>广东罗定金银湖国家湿地公园科研监测设备采购及在线监测系统集成服务项目</w:t>
      </w:r>
    </w:p>
    <w:p>
      <w:pPr>
        <w:pStyle w:val="2"/>
        <w:rPr>
          <w:rFonts w:hint="eastAsia"/>
          <w:lang w:eastAsia="zh-CN"/>
        </w:rPr>
      </w:pP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ascii="宋体"/>
          <w:color w:val="auto"/>
          <w:spacing w:val="26"/>
          <w:sz w:val="72"/>
          <w:szCs w:val="72"/>
        </w:rPr>
      </w:pPr>
      <w:r>
        <w:rPr>
          <w:rFonts w:hint="eastAsia" w:ascii="宋体" w:hAnsi="宋体"/>
          <w:color w:val="auto"/>
          <w:spacing w:val="26"/>
          <w:sz w:val="72"/>
          <w:szCs w:val="72"/>
        </w:rPr>
        <w:t>件</w:t>
      </w:r>
    </w:p>
    <w:p>
      <w:pPr>
        <w:snapToGrid w:val="0"/>
        <w:jc w:val="center"/>
        <w:rPr>
          <w:rFonts w:ascii="宋体"/>
          <w:b/>
          <w:color w:val="auto"/>
          <w:spacing w:val="20"/>
          <w:kern w:val="10"/>
          <w:sz w:val="52"/>
          <w:szCs w:val="52"/>
        </w:rPr>
      </w:pPr>
    </w:p>
    <w:p>
      <w:pPr>
        <w:spacing w:line="360" w:lineRule="auto"/>
        <w:jc w:val="center"/>
        <w:textAlignment w:val="top"/>
        <w:rPr>
          <w:rFonts w:hint="eastAsia" w:ascii="宋体" w:hAnsi="宋体"/>
          <w:b/>
          <w:color w:val="auto"/>
          <w:sz w:val="30"/>
          <w:szCs w:val="30"/>
          <w:lang w:eastAsia="zh-CN"/>
        </w:rPr>
      </w:pPr>
      <w:r>
        <w:rPr>
          <w:rFonts w:hint="eastAsia" w:ascii="宋体" w:hAnsi="宋体"/>
          <w:b/>
          <w:color w:val="auto"/>
          <w:sz w:val="30"/>
          <w:szCs w:val="30"/>
          <w:lang w:eastAsia="zh-CN"/>
        </w:rPr>
        <w:t xml:space="preserve">采购编号：445381-202005-81327002-0002 </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6"/>
        <w:jc w:val="center"/>
        <w:rPr>
          <w:rFonts w:ascii="华文新魏" w:eastAsia="华文新魏"/>
          <w:b/>
          <w:color w:val="auto"/>
          <w:sz w:val="44"/>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6</w:t>
      </w:r>
      <w:r>
        <w:rPr>
          <w:rFonts w:hint="eastAsia" w:ascii="宋体" w:hAnsi="宋体"/>
          <w:b/>
          <w:color w:val="auto"/>
          <w:spacing w:val="40"/>
          <w:sz w:val="36"/>
          <w:szCs w:val="36"/>
        </w:rPr>
        <w:t>月</w:t>
      </w: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5</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27</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41</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pgNumType w:fmt="decimal"/>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45</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b/>
          <w:color w:val="auto"/>
          <w:kern w:val="28"/>
          <w:sz w:val="32"/>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snapToGrid w:val="0"/>
        <w:spacing w:before="60" w:line="360" w:lineRule="auto"/>
        <w:rPr>
          <w:rFonts w:ascii="宋体"/>
          <w:color w:val="auto"/>
        </w:rPr>
      </w:pP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罗定市林业局</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广东罗定金银湖国家湿地公园科研监测设备采购及在线监测系统集成服务项目</w:t>
      </w:r>
      <w:r>
        <w:rPr>
          <w:rFonts w:hint="eastAsia" w:ascii="宋体" w:hAnsi="宋体" w:cs="Tahoma"/>
          <w:color w:val="auto"/>
          <w:kern w:val="28"/>
        </w:rPr>
        <w:t>（</w:t>
      </w:r>
      <w:r>
        <w:rPr>
          <w:rFonts w:hint="eastAsia" w:ascii="宋体" w:hAnsi="宋体" w:cs="Tahoma"/>
          <w:color w:val="auto"/>
          <w:kern w:val="28"/>
          <w:lang w:eastAsia="zh-CN"/>
        </w:rPr>
        <w:t xml:space="preserve">采购编号：445381-202005-81327002-0002 </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color w:val="auto"/>
        </w:rPr>
      </w:pPr>
      <w:r>
        <w:rPr>
          <w:rFonts w:hint="eastAsia" w:ascii="宋体" w:hAnsi="宋体" w:cs="Tahoma"/>
          <w:color w:val="auto"/>
        </w:rPr>
        <w:t>一、磋商项目的</w:t>
      </w:r>
      <w:r>
        <w:rPr>
          <w:rFonts w:hint="eastAsia" w:ascii="宋体" w:hAnsi="宋体"/>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广东罗定金银湖国家湿地公园科研监测设备采购及在线监测系统集成服务项目</w:t>
      </w:r>
    </w:p>
    <w:p>
      <w:pPr>
        <w:spacing w:line="480" w:lineRule="exact"/>
        <w:rPr>
          <w:rFonts w:ascii="宋体" w:cs="宋体"/>
          <w:color w:val="auto"/>
        </w:rPr>
      </w:pPr>
      <w:r>
        <w:rPr>
          <w:color w:val="auto"/>
        </w:rPr>
        <w:t>2</w:t>
      </w:r>
      <w:r>
        <w:rPr>
          <w:rFonts w:hint="eastAsia"/>
          <w:color w:val="auto"/>
        </w:rPr>
        <w:t>、预算金额：</w:t>
      </w:r>
      <w:r>
        <w:rPr>
          <w:rFonts w:ascii="宋体" w:cs="宋体"/>
          <w:color w:val="auto"/>
        </w:rPr>
        <w:t>¥</w:t>
      </w:r>
      <w:r>
        <w:rPr>
          <w:rFonts w:hint="eastAsia" w:ascii="宋体" w:cs="宋体"/>
          <w:color w:val="auto"/>
          <w:lang w:val="en-US" w:eastAsia="zh-CN"/>
        </w:rPr>
        <w:t xml:space="preserve"> </w:t>
      </w:r>
      <w:r>
        <w:rPr>
          <w:rFonts w:hint="eastAsia" w:ascii="宋体" w:hAnsi="宋体" w:cs="宋体"/>
          <w:color w:val="auto"/>
          <w:lang w:val="en-US" w:eastAsia="zh-CN"/>
        </w:rPr>
        <w:t>910,000</w:t>
      </w:r>
      <w:r>
        <w:rPr>
          <w:rFonts w:hint="eastAsia" w:ascii="宋体" w:hAnsi="宋体" w:cs="宋体"/>
          <w:color w:val="auto"/>
          <w:lang w:eastAsia="zh-CN"/>
        </w:rPr>
        <w:t>.0</w:t>
      </w:r>
      <w:r>
        <w:rPr>
          <w:rFonts w:hint="eastAsia" w:ascii="宋体" w:hAnsi="宋体" w:cs="宋体"/>
          <w:color w:val="auto"/>
          <w:lang w:val="en-US" w:eastAsia="zh-CN"/>
        </w:rPr>
        <w:t>0</w:t>
      </w:r>
      <w:r>
        <w:rPr>
          <w:rFonts w:hint="eastAsia" w:ascii="宋体" w:hAnsi="宋体" w:cs="宋体"/>
          <w:color w:val="auto"/>
        </w:rPr>
        <w:t>元</w:t>
      </w:r>
    </w:p>
    <w:p>
      <w:pPr>
        <w:spacing w:line="480" w:lineRule="exact"/>
        <w:rPr>
          <w:color w:val="auto"/>
        </w:rPr>
      </w:pPr>
      <w:r>
        <w:rPr>
          <w:color w:val="auto"/>
        </w:rPr>
        <w:t>3</w:t>
      </w:r>
      <w:r>
        <w:rPr>
          <w:rFonts w:hint="eastAsia"/>
          <w:color w:val="auto"/>
        </w:rPr>
        <w:t>、项目内容及数量：详见用户需求书。</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spacing w:line="480" w:lineRule="exact"/>
        <w:rPr>
          <w:color w:val="auto"/>
        </w:rPr>
      </w:pPr>
      <w:r>
        <w:rPr>
          <w:color w:val="auto"/>
        </w:rPr>
        <w:t>5.5.</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spacing w:line="480" w:lineRule="exact"/>
        <w:rPr>
          <w:color w:val="auto"/>
        </w:rPr>
      </w:pPr>
      <w:r>
        <w:rPr>
          <w:rFonts w:hint="eastAsia" w:ascii="宋体" w:hAnsi="宋体"/>
          <w:b/>
          <w:bCs/>
          <w:color w:val="auto"/>
          <w:szCs w:val="21"/>
        </w:rPr>
        <w:t>报价人应对项目内所有内容进行投标，不允许只对项目部分内容进行投标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adjustRightInd w:val="0"/>
        <w:snapToGrid w:val="0"/>
        <w:spacing w:line="480" w:lineRule="exact"/>
        <w:outlineLvl w:val="0"/>
        <w:rPr>
          <w:rFonts w:hint="eastAsia" w:ascii="宋体" w:hAnsi="宋体"/>
        </w:rPr>
      </w:pPr>
      <w:r>
        <w:rPr>
          <w:rFonts w:hint="eastAsia" w:ascii="宋体" w:hAnsi="宋体"/>
        </w:rPr>
        <w:t>1、供应商应具备《政府采购法》第二十二条规定的条件；</w:t>
      </w:r>
    </w:p>
    <w:p>
      <w:pPr>
        <w:adjustRightInd w:val="0"/>
        <w:snapToGrid w:val="0"/>
        <w:spacing w:line="480" w:lineRule="exact"/>
        <w:outlineLvl w:val="0"/>
        <w:rPr>
          <w:rFonts w:hint="eastAsia" w:ascii="宋体" w:hAnsi="宋体"/>
        </w:rPr>
      </w:pPr>
      <w:r>
        <w:rPr>
          <w:rFonts w:hint="eastAsia" w:ascii="宋体" w:hAnsi="宋体"/>
        </w:rPr>
        <w:t>2、供应商应是在中华人民共和国境内注册的、具有独立承担民事责任能力的法人、其他组织或自然人，符合相应的生产或经营范围；</w:t>
      </w:r>
    </w:p>
    <w:p>
      <w:pPr>
        <w:adjustRightInd w:val="0"/>
        <w:snapToGrid w:val="0"/>
        <w:spacing w:line="480" w:lineRule="exact"/>
        <w:outlineLvl w:val="0"/>
        <w:rPr>
          <w:rFonts w:hint="eastAsia" w:ascii="宋体" w:hAnsi="宋体"/>
        </w:rPr>
      </w:pPr>
      <w:r>
        <w:rPr>
          <w:rFonts w:hint="eastAsia" w:ascii="宋体" w:hAnsi="宋体"/>
        </w:rPr>
        <w:t>3、供应商未被列入“信用中国”网站(www.creditchina.gov.cn)“失信被执行人或重大税收违法案件当事人名单”记录名单；不处于中国政府采购网(www.ccgp.gov.cn)“政府采购严重违法失信行为信息记录”中的禁止参加政府采购活动期间。【以在“信用中国”网站以及中国政府采购网查询结果为准，如查询结果显示“没查到您要的信息”，视为没有上述不良信用记录,如相关失信记录已失效，投标人需提供相关证明资料】，提供查询结果截图证明；</w:t>
      </w:r>
    </w:p>
    <w:p>
      <w:pPr>
        <w:adjustRightInd w:val="0"/>
        <w:snapToGrid w:val="0"/>
        <w:spacing w:line="480" w:lineRule="exact"/>
        <w:outlineLvl w:val="0"/>
        <w:rPr>
          <w:rFonts w:hint="eastAsia" w:ascii="宋体" w:hAnsi="宋体"/>
        </w:rPr>
      </w:pPr>
      <w:r>
        <w:rPr>
          <w:rFonts w:hint="eastAsia" w:ascii="宋体" w:hAnsi="宋体"/>
        </w:rPr>
        <w:t>4、为采购项目提供整体设计、规范编制或者项目管理、监理、检测等服务的供应商，不得再参加该采购项目的其他采购活动。（提供《承诺函》）</w:t>
      </w:r>
    </w:p>
    <w:p>
      <w:pPr>
        <w:adjustRightInd w:val="0"/>
        <w:snapToGrid w:val="0"/>
        <w:spacing w:line="480" w:lineRule="exact"/>
        <w:outlineLvl w:val="0"/>
        <w:rPr>
          <w:rFonts w:hint="eastAsia" w:ascii="宋体" w:hAnsi="宋体"/>
        </w:rPr>
      </w:pPr>
      <w:r>
        <w:rPr>
          <w:rFonts w:hint="eastAsia" w:ascii="宋体" w:hAnsi="宋体"/>
        </w:rPr>
        <w:t>5、单位负责人为同一人或者存在直接控股、管理关系的不同供应商，不得参加同一合同项下的政府采购活动。（以国家企业信用信息公示系统www.gsxt.gov.cn查询结果为准）；</w:t>
      </w:r>
    </w:p>
    <w:p>
      <w:pPr>
        <w:adjustRightInd w:val="0"/>
        <w:snapToGrid w:val="0"/>
        <w:spacing w:line="480" w:lineRule="exact"/>
        <w:outlineLvl w:val="0"/>
        <w:rPr>
          <w:rFonts w:hint="eastAsia" w:ascii="宋体" w:hAnsi="宋体"/>
        </w:rPr>
      </w:pPr>
      <w:r>
        <w:rPr>
          <w:rFonts w:hint="eastAsia" w:ascii="宋体" w:hAnsi="宋体"/>
        </w:rPr>
        <w:t>6、本项目不接受联合体投标。</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000000" w:themeColor="text1"/>
        </w:rPr>
      </w:pPr>
      <w:r>
        <w:rPr>
          <w:rFonts w:ascii="宋体" w:hAnsi="宋体" w:cs="Tahoma"/>
          <w:color w:val="000000" w:themeColor="text1"/>
        </w:rPr>
        <w:t>1</w:t>
      </w:r>
      <w:r>
        <w:rPr>
          <w:rFonts w:hint="eastAsia" w:ascii="宋体" w:hAnsi="宋体" w:cs="Tahoma"/>
          <w:color w:val="000000" w:themeColor="text1"/>
        </w:rPr>
        <w:t>、</w:t>
      </w:r>
      <w:r>
        <w:rPr>
          <w:rFonts w:hint="eastAsia" w:ascii="宋体" w:hAnsi="宋体" w:cs="Tahoma"/>
          <w:color w:val="000000" w:themeColor="text1"/>
          <w:lang w:eastAsia="zh-CN"/>
        </w:rPr>
        <w:t>报名</w:t>
      </w:r>
      <w:r>
        <w:rPr>
          <w:rFonts w:hint="eastAsia" w:ascii="宋体" w:hAnsi="宋体" w:cs="Tahoma"/>
          <w:color w:val="000000" w:themeColor="text1"/>
        </w:rPr>
        <w:t>时间：</w:t>
      </w:r>
      <w:r>
        <w:rPr>
          <w:rFonts w:ascii="宋体" w:hAnsi="宋体" w:cs="Tahoma"/>
          <w:color w:val="000000" w:themeColor="text1"/>
          <w:kern w:val="28"/>
        </w:rPr>
        <w:t>20</w:t>
      </w:r>
      <w:r>
        <w:rPr>
          <w:rFonts w:hint="eastAsia" w:ascii="宋体" w:hAnsi="宋体" w:cs="Tahoma"/>
          <w:color w:val="000000" w:themeColor="text1"/>
          <w:kern w:val="28"/>
          <w:lang w:val="en-US" w:eastAsia="zh-CN"/>
        </w:rPr>
        <w:t>20</w:t>
      </w:r>
      <w:r>
        <w:rPr>
          <w:rFonts w:hint="eastAsia" w:ascii="宋体" w:hAnsi="宋体" w:cs="Tahoma"/>
          <w:color w:val="000000" w:themeColor="text1"/>
          <w:kern w:val="28"/>
        </w:rPr>
        <w:t>年</w:t>
      </w:r>
      <w:r>
        <w:rPr>
          <w:rFonts w:hint="eastAsia" w:ascii="宋体" w:hAnsi="宋体" w:cs="Tahoma"/>
          <w:color w:val="000000" w:themeColor="text1"/>
          <w:kern w:val="28"/>
          <w:lang w:val="en-US" w:eastAsia="zh-CN"/>
        </w:rPr>
        <w:t>06</w:t>
      </w:r>
      <w:r>
        <w:rPr>
          <w:rFonts w:hint="eastAsia" w:ascii="宋体" w:hAnsi="宋体" w:cs="Tahoma"/>
          <w:color w:val="000000" w:themeColor="text1"/>
          <w:kern w:val="28"/>
        </w:rPr>
        <w:t>月</w:t>
      </w:r>
      <w:r>
        <w:rPr>
          <w:rFonts w:hint="eastAsia" w:ascii="宋体" w:hAnsi="宋体" w:cs="Tahoma"/>
          <w:color w:val="000000" w:themeColor="text1"/>
          <w:kern w:val="28"/>
          <w:lang w:val="en-US" w:eastAsia="zh-CN"/>
        </w:rPr>
        <w:t>01</w:t>
      </w:r>
      <w:r>
        <w:rPr>
          <w:rFonts w:hint="eastAsia" w:ascii="宋体" w:hAnsi="宋体" w:cs="Tahoma"/>
          <w:color w:val="000000" w:themeColor="text1"/>
          <w:kern w:val="28"/>
        </w:rPr>
        <w:t>日至</w:t>
      </w:r>
      <w:r>
        <w:rPr>
          <w:rFonts w:ascii="宋体" w:hAnsi="宋体" w:cs="Tahoma"/>
          <w:color w:val="000000" w:themeColor="text1"/>
          <w:kern w:val="28"/>
        </w:rPr>
        <w:t>20</w:t>
      </w:r>
      <w:r>
        <w:rPr>
          <w:rFonts w:hint="eastAsia" w:ascii="宋体" w:hAnsi="宋体" w:cs="Tahoma"/>
          <w:color w:val="000000" w:themeColor="text1"/>
          <w:kern w:val="28"/>
          <w:lang w:val="en-US" w:eastAsia="zh-CN"/>
        </w:rPr>
        <w:t>20</w:t>
      </w:r>
      <w:r>
        <w:rPr>
          <w:rFonts w:hint="eastAsia" w:ascii="宋体" w:hAnsi="宋体" w:cs="Tahoma"/>
          <w:color w:val="000000" w:themeColor="text1"/>
          <w:kern w:val="28"/>
        </w:rPr>
        <w:t>年</w:t>
      </w:r>
      <w:r>
        <w:rPr>
          <w:rFonts w:hint="eastAsia" w:ascii="宋体" w:hAnsi="宋体" w:cs="Tahoma"/>
          <w:color w:val="000000" w:themeColor="text1"/>
          <w:kern w:val="28"/>
          <w:lang w:val="en-US" w:eastAsia="zh-CN"/>
        </w:rPr>
        <w:t>06</w:t>
      </w:r>
      <w:r>
        <w:rPr>
          <w:rFonts w:hint="eastAsia" w:ascii="宋体" w:hAnsi="宋体" w:cs="Tahoma"/>
          <w:color w:val="000000" w:themeColor="text1"/>
          <w:kern w:val="28"/>
        </w:rPr>
        <w:t>月</w:t>
      </w:r>
      <w:r>
        <w:rPr>
          <w:rFonts w:hint="eastAsia" w:ascii="宋体" w:hAnsi="宋体" w:cs="Tahoma"/>
          <w:color w:val="000000" w:themeColor="text1"/>
          <w:kern w:val="28"/>
          <w:lang w:val="en-US" w:eastAsia="zh-CN"/>
        </w:rPr>
        <w:t>05</w:t>
      </w:r>
      <w:r>
        <w:rPr>
          <w:rFonts w:hint="eastAsia" w:ascii="宋体" w:hAnsi="宋体" w:cs="Tahoma"/>
          <w:color w:val="000000" w:themeColor="text1"/>
          <w:kern w:val="28"/>
        </w:rPr>
        <w:t>日</w:t>
      </w:r>
      <w:r>
        <w:rPr>
          <w:rFonts w:ascii="宋体" w:hAnsi="宋体" w:cs="Tahoma"/>
          <w:color w:val="000000" w:themeColor="text1"/>
          <w:kern w:val="28"/>
        </w:rPr>
        <w:t>08</w:t>
      </w:r>
      <w:r>
        <w:rPr>
          <w:rFonts w:hint="eastAsia" w:ascii="宋体" w:hAnsi="宋体" w:cs="Tahoma"/>
          <w:color w:val="000000" w:themeColor="text1"/>
          <w:kern w:val="28"/>
        </w:rPr>
        <w:t>：</w:t>
      </w:r>
      <w:r>
        <w:rPr>
          <w:rFonts w:ascii="宋体" w:hAnsi="宋体" w:cs="Tahoma"/>
          <w:color w:val="000000" w:themeColor="text1"/>
          <w:kern w:val="28"/>
        </w:rPr>
        <w:t>30-17</w:t>
      </w:r>
      <w:r>
        <w:rPr>
          <w:rFonts w:hint="eastAsia" w:ascii="宋体" w:hAnsi="宋体" w:cs="Tahoma"/>
          <w:color w:val="000000" w:themeColor="text1"/>
          <w:kern w:val="28"/>
        </w:rPr>
        <w:t>：</w:t>
      </w:r>
      <w:r>
        <w:rPr>
          <w:rFonts w:ascii="宋体" w:hAnsi="宋体" w:cs="Tahoma"/>
          <w:color w:val="000000" w:themeColor="text1"/>
          <w:kern w:val="28"/>
        </w:rPr>
        <w:t>30</w:t>
      </w:r>
      <w:r>
        <w:rPr>
          <w:rFonts w:hint="eastAsia" w:ascii="宋体" w:hAnsi="宋体" w:cs="Tahoma"/>
          <w:color w:val="000000" w:themeColor="text1"/>
          <w:kern w:val="28"/>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w:t>
      </w:r>
      <w:r>
        <w:rPr>
          <w:rFonts w:hint="eastAsia" w:ascii="宋体" w:hAnsi="宋体"/>
          <w:color w:val="auto"/>
          <w:szCs w:val="21"/>
          <w:lang w:eastAsia="zh-CN"/>
        </w:rPr>
        <w:t>报价人须完整提供在国家企业信用信息公示系统www.gsxt.gov.cn的查询结果页面“信息打印”内容及《报价人资格声明函》并加盖公章，《报价人资格声明函》格式请参照本招标文件第五部分《投标文件格式》</w:t>
      </w:r>
      <w:r>
        <w:rPr>
          <w:rFonts w:hint="eastAsia" w:ascii="宋体" w:hAnsi="宋体"/>
          <w:color w:val="auto"/>
          <w:szCs w:val="21"/>
          <w:lang w:val="en-US" w:eastAsia="zh-CN"/>
        </w:rPr>
        <w:t>）</w:t>
      </w:r>
      <w:r>
        <w:rPr>
          <w:rFonts w:hint="eastAsia" w:ascii="宋体" w:hAnsi="宋体"/>
          <w:color w:val="auto"/>
          <w:szCs w:val="21"/>
        </w:rPr>
        <w:t>；</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000000" w:themeColor="text1"/>
        </w:rPr>
        <w:t>人民币</w:t>
      </w:r>
      <w:bookmarkStart w:id="67" w:name="_GoBack"/>
      <w:r>
        <w:rPr>
          <w:rFonts w:hint="eastAsia" w:ascii="宋体" w:hAnsi="宋体"/>
          <w:color w:val="000000" w:themeColor="text1"/>
          <w:lang w:val="en-US" w:eastAsia="zh-CN"/>
        </w:rPr>
        <w:t>3</w:t>
      </w:r>
      <w:bookmarkEnd w:id="67"/>
      <w:r>
        <w:rPr>
          <w:rFonts w:ascii="宋体" w:hAnsi="宋体"/>
          <w:color w:val="000000" w:themeColor="text1"/>
        </w:rPr>
        <w:t>00</w:t>
      </w:r>
      <w:r>
        <w:rPr>
          <w:rFonts w:hint="eastAsia" w:ascii="宋体" w:hAnsi="宋体"/>
          <w:color w:val="000000" w:themeColor="text1"/>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000000" w:themeColor="text1"/>
        </w:rPr>
      </w:pPr>
      <w:r>
        <w:rPr>
          <w:rFonts w:ascii="宋体" w:hAnsi="宋体" w:cs="Tahoma"/>
          <w:color w:val="000000" w:themeColor="text1"/>
        </w:rPr>
        <w:t>1</w:t>
      </w:r>
      <w:r>
        <w:rPr>
          <w:rFonts w:hint="eastAsia" w:ascii="宋体" w:hAnsi="宋体" w:cs="Tahoma"/>
          <w:color w:val="000000" w:themeColor="text1"/>
        </w:rPr>
        <w:t>、递交报价文件时间：</w:t>
      </w:r>
      <w:r>
        <w:rPr>
          <w:rFonts w:ascii="宋体" w:hAnsi="宋体" w:cs="Tahoma"/>
          <w:color w:val="000000" w:themeColor="text1"/>
        </w:rPr>
        <w:t>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06</w:t>
      </w:r>
      <w:r>
        <w:rPr>
          <w:rFonts w:hint="eastAsia" w:ascii="宋体" w:hAnsi="宋体" w:cs="Tahoma"/>
          <w:color w:val="000000" w:themeColor="text1"/>
        </w:rPr>
        <w:t>月</w:t>
      </w:r>
      <w:r>
        <w:rPr>
          <w:rFonts w:hint="eastAsia" w:ascii="宋体" w:hAnsi="宋体" w:cs="Tahoma"/>
          <w:color w:val="000000" w:themeColor="text1"/>
          <w:lang w:val="en-US" w:eastAsia="zh-CN"/>
        </w:rPr>
        <w:t>10</w:t>
      </w:r>
      <w:r>
        <w:rPr>
          <w:rFonts w:hint="eastAsia" w:ascii="宋体" w:hAnsi="宋体" w:cs="Tahoma"/>
          <w:color w:val="000000" w:themeColor="text1"/>
        </w:rPr>
        <w:t>日</w:t>
      </w:r>
      <w:r>
        <w:rPr>
          <w:rFonts w:hint="eastAsia" w:ascii="宋体" w:hAnsi="宋体" w:cs="Tahoma"/>
          <w:color w:val="000000" w:themeColor="text1"/>
          <w:lang w:eastAsia="zh-CN"/>
        </w:rPr>
        <w:t>下</w:t>
      </w:r>
      <w:r>
        <w:rPr>
          <w:rFonts w:hint="eastAsia" w:ascii="宋体" w:hAnsi="宋体" w:cs="Tahoma"/>
          <w:color w:val="000000" w:themeColor="text1"/>
        </w:rPr>
        <w:t>午</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hAnsi="宋体" w:cs="Tahoma"/>
          <w:color w:val="000000" w:themeColor="text1"/>
          <w:lang w:val="en-US" w:eastAsia="zh-CN"/>
        </w:rPr>
        <w:t>0</w:t>
      </w:r>
      <w:r>
        <w:rPr>
          <w:rFonts w:ascii="宋体" w:hAnsi="宋体" w:cs="Tahoma"/>
          <w:color w:val="000000" w:themeColor="text1"/>
        </w:rPr>
        <w:t>0-</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ascii="宋体" w:cs="Tahoma"/>
          <w:color w:val="000000" w:themeColor="text1"/>
        </w:rPr>
      </w:pPr>
      <w:r>
        <w:rPr>
          <w:rFonts w:ascii="宋体" w:hAnsi="宋体" w:cs="Tahoma"/>
          <w:color w:val="000000" w:themeColor="text1"/>
        </w:rPr>
        <w:t>2</w:t>
      </w:r>
      <w:r>
        <w:rPr>
          <w:rFonts w:hint="eastAsia" w:ascii="宋体" w:hAnsi="宋体" w:cs="Tahoma"/>
          <w:color w:val="000000" w:themeColor="text1"/>
        </w:rPr>
        <w:t>、报价截止时间：</w:t>
      </w:r>
      <w:r>
        <w:rPr>
          <w:rFonts w:ascii="宋体" w:hAnsi="宋体" w:cs="Tahoma"/>
          <w:color w:val="000000" w:themeColor="text1"/>
        </w:rPr>
        <w:t>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06</w:t>
      </w:r>
      <w:r>
        <w:rPr>
          <w:rFonts w:hint="eastAsia" w:ascii="宋体" w:hAnsi="宋体" w:cs="Tahoma"/>
          <w:color w:val="000000" w:themeColor="text1"/>
        </w:rPr>
        <w:t>月</w:t>
      </w:r>
      <w:r>
        <w:rPr>
          <w:rFonts w:hint="eastAsia" w:ascii="宋体" w:hAnsi="宋体" w:cs="Tahoma"/>
          <w:color w:val="000000" w:themeColor="text1"/>
          <w:lang w:val="en-US" w:eastAsia="zh-CN"/>
        </w:rPr>
        <w:t>10</w:t>
      </w:r>
      <w:r>
        <w:rPr>
          <w:rFonts w:hint="eastAsia" w:ascii="宋体" w:hAnsi="宋体" w:cs="Tahoma"/>
          <w:color w:val="000000" w:themeColor="text1"/>
        </w:rPr>
        <w:t>日</w:t>
      </w:r>
      <w:r>
        <w:rPr>
          <w:rFonts w:hint="eastAsia" w:ascii="宋体" w:hAnsi="宋体" w:cs="Tahoma"/>
          <w:color w:val="000000" w:themeColor="text1"/>
          <w:lang w:eastAsia="zh-CN"/>
        </w:rPr>
        <w:t>下</w:t>
      </w:r>
      <w:r>
        <w:rPr>
          <w:rFonts w:hint="eastAsia" w:ascii="宋体" w:hAnsi="宋体" w:cs="Tahoma"/>
          <w:color w:val="000000" w:themeColor="text1"/>
        </w:rPr>
        <w:t>午</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ascii="宋体" w:cs="Tahoma"/>
          <w:color w:val="000000" w:themeColor="text1"/>
        </w:rPr>
      </w:pPr>
      <w:r>
        <w:rPr>
          <w:rFonts w:ascii="宋体" w:hAnsi="宋体" w:cs="Tahoma"/>
          <w:color w:val="000000" w:themeColor="text1"/>
        </w:rPr>
        <w:t>3</w:t>
      </w:r>
      <w:r>
        <w:rPr>
          <w:rFonts w:hint="eastAsia" w:ascii="宋体" w:hAnsi="宋体" w:cs="Tahoma"/>
          <w:color w:val="000000" w:themeColor="text1"/>
        </w:rPr>
        <w:t>、磋商时间：</w:t>
      </w:r>
      <w:r>
        <w:rPr>
          <w:rFonts w:ascii="宋体" w:hAnsi="宋体" w:cs="Tahoma"/>
          <w:color w:val="000000" w:themeColor="text1"/>
        </w:rPr>
        <w:t xml:space="preserve"> 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06</w:t>
      </w:r>
      <w:r>
        <w:rPr>
          <w:rFonts w:hint="eastAsia" w:ascii="宋体" w:hAnsi="宋体" w:cs="Tahoma"/>
          <w:color w:val="000000" w:themeColor="text1"/>
        </w:rPr>
        <w:t>月</w:t>
      </w:r>
      <w:r>
        <w:rPr>
          <w:rFonts w:hint="eastAsia" w:ascii="宋体" w:hAnsi="宋体" w:cs="Tahoma"/>
          <w:color w:val="000000" w:themeColor="text1"/>
          <w:lang w:val="en-US" w:eastAsia="zh-CN"/>
        </w:rPr>
        <w:t>10</w:t>
      </w:r>
      <w:r>
        <w:rPr>
          <w:rFonts w:hint="eastAsia" w:ascii="宋体" w:hAnsi="宋体" w:cs="Tahoma"/>
          <w:color w:val="000000" w:themeColor="text1"/>
        </w:rPr>
        <w:t>日</w:t>
      </w:r>
      <w:r>
        <w:rPr>
          <w:rFonts w:hint="eastAsia" w:ascii="宋体" w:hAnsi="宋体" w:cs="Tahoma"/>
          <w:color w:val="000000" w:themeColor="text1"/>
          <w:lang w:eastAsia="zh-CN"/>
        </w:rPr>
        <w:t>下</w:t>
      </w:r>
      <w:r>
        <w:rPr>
          <w:rFonts w:hint="eastAsia" w:ascii="宋体" w:hAnsi="宋体" w:cs="Tahoma"/>
          <w:color w:val="000000" w:themeColor="text1"/>
        </w:rPr>
        <w:t>午</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rPr>
        <w:t>4</w:t>
      </w:r>
      <w:r>
        <w:rPr>
          <w:rFonts w:hint="eastAsia" w:ascii="宋体" w:hAnsi="宋体" w:cs="Tahoma"/>
          <w:color w:val="000000" w:themeColor="text1"/>
        </w:rPr>
        <w:t>、磋商地点：</w:t>
      </w:r>
      <w:r>
        <w:rPr>
          <w:rFonts w:hint="eastAsia" w:ascii="宋体" w:hAnsi="宋体" w:cs="Tahoma"/>
          <w:color w:val="000000" w:themeColor="text1"/>
          <w:lang w:eastAsia="zh-CN"/>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eastAsia" w:ascii="宋体" w:eastAsia="宋体" w:cs="Tahoma"/>
          <w:color w:val="auto"/>
          <w:lang w:eastAsia="zh-CN"/>
        </w:rPr>
      </w:pPr>
      <w:r>
        <w:rPr>
          <w:rFonts w:hint="eastAsia" w:ascii="宋体" w:hAnsi="宋体" w:cs="Tahoma"/>
          <w:color w:val="auto"/>
        </w:rPr>
        <w:t>采购人名称：</w:t>
      </w:r>
      <w:r>
        <w:rPr>
          <w:rFonts w:hint="eastAsia" w:ascii="宋体" w:hAnsi="宋体" w:cs="Tahoma"/>
          <w:color w:val="auto"/>
          <w:lang w:eastAsia="zh-CN"/>
        </w:rPr>
        <w:t>罗定市林业局</w:t>
      </w:r>
    </w:p>
    <w:p>
      <w:pPr>
        <w:snapToGrid w:val="0"/>
        <w:spacing w:line="480" w:lineRule="exact"/>
        <w:rPr>
          <w:rFonts w:hint="eastAsia" w:ascii="宋体" w:hAnsi="宋体" w:cs="Tahoma"/>
          <w:color w:val="auto"/>
          <w:lang w:eastAsia="zh-CN"/>
        </w:rPr>
      </w:pPr>
      <w:r>
        <w:rPr>
          <w:rFonts w:hint="eastAsia" w:ascii="宋体" w:hAnsi="宋体" w:cs="Tahoma"/>
          <w:color w:val="auto"/>
        </w:rPr>
        <w:t>采购人地址：</w:t>
      </w:r>
      <w:r>
        <w:rPr>
          <w:rFonts w:hint="eastAsia" w:ascii="宋体" w:hAnsi="宋体" w:cs="Tahoma"/>
          <w:color w:val="auto"/>
          <w:lang w:eastAsia="zh-CN"/>
        </w:rPr>
        <w:t>罗定市罗城街道兴华一路147号</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ascii="宋体" w:cs="Tahoma"/>
          <w:color w:val="auto"/>
        </w:rPr>
      </w:pPr>
      <w:r>
        <w:rPr>
          <w:rFonts w:hint="eastAsia" w:ascii="宋体" w:hAnsi="宋体" w:cs="Tahoma"/>
          <w:color w:val="auto"/>
        </w:rPr>
        <w:t>采购代理机构联系人：</w:t>
      </w:r>
      <w:r>
        <w:rPr>
          <w:rFonts w:hint="eastAsia" w:ascii="宋体" w:hAnsi="宋体" w:cs="Tahoma"/>
          <w:color w:val="auto"/>
          <w:lang w:eastAsia="zh-CN"/>
        </w:rPr>
        <w:t>陈先生</w:t>
      </w:r>
      <w:r>
        <w:rPr>
          <w:rFonts w:hint="eastAsia" w:ascii="宋体" w:hAnsi="宋体" w:cs="Tahoma"/>
          <w:color w:val="auto"/>
          <w:lang w:val="en-US" w:eastAsia="zh-CN"/>
        </w:rPr>
        <w:t xml:space="preserve">                 </w:t>
      </w:r>
      <w:r>
        <w:rPr>
          <w:rFonts w:hint="eastAsia" w:ascii="宋体" w:hAnsi="宋体" w:cs="Tahoma"/>
          <w:color w:val="auto"/>
        </w:rPr>
        <w:t>采购代理机构联系电话：</w:t>
      </w:r>
      <w:r>
        <w:rPr>
          <w:rFonts w:ascii="宋体" w:hAnsi="宋体" w:cs="Tahoma"/>
          <w:color w:val="auto"/>
        </w:rPr>
        <w:t xml:space="preserve"> 0766-</w:t>
      </w:r>
      <w:r>
        <w:rPr>
          <w:rFonts w:hint="eastAsia" w:ascii="宋体" w:hAnsi="宋体" w:cs="Tahoma"/>
          <w:color w:val="auto"/>
          <w:lang w:val="en-US" w:eastAsia="zh-CN"/>
        </w:rPr>
        <w:t xml:space="preserve">3835653        </w:t>
      </w:r>
      <w:r>
        <w:rPr>
          <w:rFonts w:ascii="宋体" w:hAnsi="宋体" w:cs="Tahoma"/>
          <w:color w:val="auto"/>
        </w:rPr>
        <w:t xml:space="preserve"> </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采购项目联系人姓名：</w:t>
      </w:r>
      <w:r>
        <w:rPr>
          <w:rFonts w:hint="eastAsia" w:ascii="宋体" w:hAnsi="宋体" w:cs="Tahoma"/>
          <w:color w:val="auto"/>
          <w:lang w:eastAsia="zh-CN"/>
        </w:rPr>
        <w:t>钟伟连</w:t>
      </w:r>
      <w:r>
        <w:rPr>
          <w:rFonts w:hint="eastAsia" w:ascii="宋体" w:hAnsi="宋体" w:cs="Tahoma"/>
          <w:color w:val="auto"/>
          <w:lang w:val="en-US" w:eastAsia="zh-CN"/>
        </w:rPr>
        <w:t xml:space="preserve">                 </w:t>
      </w:r>
      <w:r>
        <w:rPr>
          <w:rFonts w:hint="eastAsia" w:ascii="宋体" w:hAnsi="宋体" w:cs="Tahoma"/>
          <w:color w:val="auto"/>
        </w:rPr>
        <w:t>采购项目联系人电话：</w:t>
      </w:r>
      <w:r>
        <w:rPr>
          <w:rFonts w:hint="eastAsia" w:ascii="宋体" w:hAnsi="宋体" w:cs="Tahoma"/>
          <w:color w:val="000000" w:themeColor="text1"/>
          <w:lang w:val="en-US" w:eastAsia="zh-CN"/>
        </w:rPr>
        <w:t>13826770025</w:t>
      </w:r>
    </w:p>
    <w:p>
      <w:pPr>
        <w:pStyle w:val="8"/>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000000" w:themeColor="text1"/>
        </w:rPr>
      </w:pPr>
      <w:r>
        <w:rPr>
          <w:rFonts w:ascii="宋体" w:hAnsi="宋体"/>
          <w:color w:val="auto"/>
        </w:rPr>
        <w:t xml:space="preserve">    </w:t>
      </w:r>
      <w:r>
        <w:rPr>
          <w:rFonts w:hint="eastAsia" w:ascii="宋体" w:hAnsi="宋体"/>
          <w:color w:val="000000" w:themeColor="text1"/>
        </w:rPr>
        <w:t>本项目磋商文件在广东省政府采购网（</w:t>
      </w:r>
      <w:r>
        <w:rPr>
          <w:rFonts w:ascii="宋体" w:hAnsi="宋体"/>
          <w:color w:val="000000" w:themeColor="text1"/>
        </w:rPr>
        <w:t>www.gdgpo.gov.cn</w:t>
      </w:r>
      <w:r>
        <w:rPr>
          <w:rFonts w:hint="eastAsia" w:ascii="宋体" w:hAnsi="宋体"/>
          <w:color w:val="000000" w:themeColor="text1"/>
        </w:rPr>
        <w:t>）、</w:t>
      </w:r>
      <w:r>
        <w:rPr>
          <w:rFonts w:hint="eastAsia" w:ascii="宋体" w:hAnsi="宋体" w:cs="宋体"/>
          <w:color w:val="000000" w:themeColor="text1"/>
          <w:szCs w:val="21"/>
        </w:rPr>
        <w:t>云浮市公共资源交易网（</w:t>
      </w:r>
      <w:r>
        <w:rPr>
          <w:rFonts w:ascii="宋体" w:hAnsi="宋体" w:cs="宋体"/>
          <w:color w:val="000000" w:themeColor="text1"/>
          <w:szCs w:val="21"/>
        </w:rPr>
        <w:t>http://ggzy.yunfu.gov.cn</w:t>
      </w:r>
      <w:r>
        <w:rPr>
          <w:rFonts w:hint="eastAsia" w:ascii="宋体" w:hAnsi="宋体" w:cs="宋体"/>
          <w:color w:val="000000" w:themeColor="text1"/>
          <w:szCs w:val="21"/>
        </w:rPr>
        <w:t>）</w:t>
      </w:r>
      <w:r>
        <w:rPr>
          <w:rFonts w:hint="eastAsia" w:ascii="宋体" w:hAnsi="宋体"/>
          <w:color w:val="000000" w:themeColor="text1"/>
        </w:rPr>
        <w:t>等网站进行公示，由报价人自行下载，公示期为自磋商文件公告之日后</w:t>
      </w:r>
      <w:r>
        <w:rPr>
          <w:rFonts w:hint="eastAsia" w:ascii="宋体" w:hAnsi="宋体"/>
          <w:color w:val="000000" w:themeColor="text1"/>
          <w:lang w:val="en-US" w:eastAsia="zh-CN"/>
        </w:rPr>
        <w:t>5</w:t>
      </w:r>
      <w:r>
        <w:rPr>
          <w:rFonts w:hint="eastAsia" w:ascii="宋体" w:hAnsi="宋体"/>
          <w:color w:val="000000" w:themeColor="text1"/>
        </w:rPr>
        <w:t>个工作日</w:t>
      </w:r>
      <w:r>
        <w:rPr>
          <w:rFonts w:hint="eastAsia" w:ascii="宋体" w:hAnsi="宋体" w:cs="宋体"/>
          <w:color w:val="000000" w:themeColor="text1"/>
          <w:szCs w:val="21"/>
        </w:rPr>
        <w:t>（</w:t>
      </w:r>
      <w:r>
        <w:rPr>
          <w:rFonts w:hint="eastAsia" w:ascii="宋体" w:hAnsi="宋体"/>
          <w:color w:val="000000" w:themeColor="text1"/>
        </w:rPr>
        <w:t>公告期限自</w:t>
      </w:r>
      <w:r>
        <w:rPr>
          <w:rFonts w:ascii="宋体" w:hAnsi="宋体"/>
          <w:color w:val="000000" w:themeColor="text1"/>
        </w:rPr>
        <w:t>20</w:t>
      </w:r>
      <w:r>
        <w:rPr>
          <w:rFonts w:hint="eastAsia" w:ascii="宋体" w:hAnsi="宋体"/>
          <w:color w:val="000000" w:themeColor="text1"/>
          <w:lang w:val="en-US" w:eastAsia="zh-CN"/>
        </w:rPr>
        <w:t>20</w:t>
      </w:r>
      <w:r>
        <w:rPr>
          <w:rFonts w:hint="eastAsia" w:ascii="宋体" w:hAnsi="宋体"/>
          <w:color w:val="000000" w:themeColor="text1"/>
        </w:rPr>
        <w:t>年</w:t>
      </w:r>
      <w:r>
        <w:rPr>
          <w:rFonts w:hint="eastAsia" w:ascii="宋体" w:hAnsi="宋体"/>
          <w:color w:val="000000" w:themeColor="text1"/>
          <w:lang w:val="en-US" w:eastAsia="zh-CN"/>
        </w:rPr>
        <w:t>06</w:t>
      </w:r>
      <w:r>
        <w:rPr>
          <w:rFonts w:hint="eastAsia" w:ascii="宋体" w:hAnsi="宋体"/>
          <w:color w:val="000000" w:themeColor="text1"/>
        </w:rPr>
        <w:t>月</w:t>
      </w:r>
      <w:r>
        <w:rPr>
          <w:rFonts w:hint="eastAsia" w:ascii="宋体" w:hAnsi="宋体"/>
          <w:color w:val="000000" w:themeColor="text1"/>
          <w:lang w:val="en-US" w:eastAsia="zh-CN"/>
        </w:rPr>
        <w:t>01</w:t>
      </w:r>
      <w:r>
        <w:rPr>
          <w:rFonts w:hint="eastAsia" w:ascii="宋体" w:hAnsi="宋体"/>
          <w:color w:val="000000" w:themeColor="text1"/>
        </w:rPr>
        <w:t>日至</w:t>
      </w:r>
      <w:r>
        <w:rPr>
          <w:rFonts w:ascii="宋体" w:hAnsi="宋体"/>
          <w:color w:val="000000" w:themeColor="text1"/>
        </w:rPr>
        <w:t>20</w:t>
      </w:r>
      <w:r>
        <w:rPr>
          <w:rFonts w:hint="eastAsia" w:ascii="宋体" w:hAnsi="宋体"/>
          <w:color w:val="000000" w:themeColor="text1"/>
          <w:lang w:val="en-US" w:eastAsia="zh-CN"/>
        </w:rPr>
        <w:t>20</w:t>
      </w:r>
      <w:r>
        <w:rPr>
          <w:rFonts w:hint="eastAsia" w:ascii="宋体" w:hAnsi="宋体"/>
          <w:color w:val="000000" w:themeColor="text1"/>
        </w:rPr>
        <w:t>年</w:t>
      </w:r>
      <w:r>
        <w:rPr>
          <w:rFonts w:hint="eastAsia" w:ascii="宋体" w:hAnsi="宋体"/>
          <w:color w:val="000000" w:themeColor="text1"/>
          <w:lang w:val="en-US" w:eastAsia="zh-CN"/>
        </w:rPr>
        <w:t>06</w:t>
      </w:r>
      <w:r>
        <w:rPr>
          <w:rFonts w:hint="eastAsia" w:ascii="宋体" w:hAnsi="宋体"/>
          <w:color w:val="000000" w:themeColor="text1"/>
        </w:rPr>
        <w:t>月</w:t>
      </w:r>
      <w:r>
        <w:rPr>
          <w:rFonts w:hint="eastAsia" w:ascii="宋体" w:hAnsi="宋体"/>
          <w:color w:val="000000" w:themeColor="text1"/>
          <w:lang w:val="en-US" w:eastAsia="zh-CN"/>
        </w:rPr>
        <w:t>05</w:t>
      </w:r>
      <w:r>
        <w:rPr>
          <w:rFonts w:hint="eastAsia" w:ascii="宋体" w:hAnsi="宋体"/>
          <w:color w:val="000000" w:themeColor="text1"/>
        </w:rPr>
        <w:t>日止）。</w:t>
      </w:r>
    </w:p>
    <w:p>
      <w:pPr>
        <w:snapToGrid w:val="0"/>
        <w:spacing w:line="480" w:lineRule="exact"/>
        <w:outlineLvl w:val="0"/>
        <w:rPr>
          <w:rFonts w:ascii="Tahoma" w:hAnsi="Tahoma" w:cs="Tahoma"/>
          <w:b/>
          <w:color w:val="000000" w:themeColor="text1"/>
        </w:rPr>
      </w:pPr>
      <w:r>
        <w:rPr>
          <w:rFonts w:hint="eastAsia" w:ascii="Tahoma" w:hAnsi="Tahoma" w:cs="Tahoma"/>
          <w:b/>
          <w:color w:val="000000" w:themeColor="text1"/>
        </w:rPr>
        <w:t>八、</w:t>
      </w:r>
      <w:r>
        <w:rPr>
          <w:rFonts w:hint="eastAsia" w:ascii="Tahoma" w:hAnsi="Tahoma" w:cs="Tahoma"/>
          <w:b/>
          <w:color w:val="000000" w:themeColor="text1"/>
          <w:lang w:eastAsia="zh-CN"/>
        </w:rPr>
        <w:t>报价人</w:t>
      </w:r>
      <w:r>
        <w:rPr>
          <w:rFonts w:hint="eastAsia" w:ascii="Tahoma" w:hAnsi="Tahoma" w:cs="Tahoma"/>
          <w:b/>
          <w:color w:val="000000" w:themeColor="text1"/>
        </w:rPr>
        <w:t>注册登记</w:t>
      </w:r>
    </w:p>
    <w:p>
      <w:pPr>
        <w:snapToGrid w:val="0"/>
        <w:spacing w:line="480" w:lineRule="exact"/>
        <w:ind w:firstLine="420" w:firstLineChars="200"/>
        <w:rPr>
          <w:rFonts w:ascii="宋体" w:cs="Tahoma"/>
          <w:color w:val="000000" w:themeColor="text1"/>
        </w:rPr>
      </w:pPr>
      <w:r>
        <w:rPr>
          <w:rFonts w:hint="eastAsia" w:ascii="宋体" w:hAnsi="宋体" w:cs="Tahoma"/>
          <w:color w:val="000000" w:themeColor="text1"/>
        </w:rPr>
        <w:t>为保证政府采购工作顺利进行，参加广东省内政府采购活动的</w:t>
      </w:r>
      <w:r>
        <w:rPr>
          <w:rFonts w:hint="eastAsia" w:ascii="宋体" w:hAnsi="宋体" w:cs="Tahoma"/>
          <w:color w:val="000000" w:themeColor="text1"/>
          <w:lang w:eastAsia="zh-CN"/>
        </w:rPr>
        <w:t>报价人</w:t>
      </w:r>
      <w:r>
        <w:rPr>
          <w:rFonts w:hint="eastAsia" w:ascii="宋体" w:hAnsi="宋体" w:cs="Tahoma"/>
          <w:color w:val="000000" w:themeColor="text1"/>
        </w:rPr>
        <w:t>，</w:t>
      </w:r>
      <w:r>
        <w:rPr>
          <w:rFonts w:hint="eastAsia" w:ascii="宋体" w:hAnsi="宋体" w:cs="Tahoma"/>
          <w:b/>
          <w:bCs/>
          <w:color w:val="000000" w:themeColor="text1"/>
        </w:rPr>
        <w:t>必须在广东省政府采购网</w:t>
      </w:r>
      <w:r>
        <w:rPr>
          <w:rFonts w:ascii="宋体" w:hAnsi="宋体" w:cs="Tahoma"/>
          <w:b/>
          <w:bCs/>
          <w:color w:val="000000" w:themeColor="text1"/>
        </w:rPr>
        <w:t>(www.gdgpo.gov.cn)</w:t>
      </w:r>
      <w:r>
        <w:rPr>
          <w:rFonts w:hint="eastAsia" w:ascii="宋体" w:hAnsi="宋体" w:cs="Tahoma"/>
          <w:b/>
          <w:bCs/>
          <w:color w:val="000000" w:themeColor="text1"/>
        </w:rPr>
        <w:t>及</w:t>
      </w:r>
      <w:r>
        <w:rPr>
          <w:rFonts w:hint="eastAsia" w:ascii="宋体" w:hAnsi="宋体" w:cs="宋体"/>
          <w:b/>
          <w:bCs/>
          <w:color w:val="000000" w:themeColor="text1"/>
          <w:szCs w:val="21"/>
        </w:rPr>
        <w:t>云浮市公共资源交易网（</w:t>
      </w:r>
      <w:r>
        <w:rPr>
          <w:rFonts w:ascii="宋体" w:hAnsi="宋体" w:cs="宋体"/>
          <w:b/>
          <w:bCs/>
          <w:color w:val="000000" w:themeColor="text1"/>
          <w:szCs w:val="21"/>
        </w:rPr>
        <w:t>http://ggzy.yunfu.gov.cn</w:t>
      </w:r>
      <w:r>
        <w:rPr>
          <w:rFonts w:hint="eastAsia" w:ascii="宋体" w:hAnsi="宋体" w:cs="宋体"/>
          <w:b/>
          <w:bCs/>
          <w:color w:val="000000" w:themeColor="text1"/>
          <w:szCs w:val="21"/>
        </w:rPr>
        <w:t>）</w:t>
      </w:r>
      <w:r>
        <w:rPr>
          <w:rFonts w:hint="eastAsia" w:ascii="宋体" w:hAnsi="宋体" w:cs="Tahoma"/>
          <w:b/>
          <w:bCs/>
          <w:color w:val="000000" w:themeColor="text1"/>
        </w:rPr>
        <w:t>进行注册登记</w:t>
      </w:r>
      <w:r>
        <w:rPr>
          <w:rFonts w:hint="eastAsia" w:ascii="宋体" w:hAnsi="宋体" w:cs="Tahoma"/>
          <w:color w:val="000000" w:themeColor="text1"/>
        </w:rPr>
        <w:t>，请参加本项目投标且尚未在广东省政府采购网、</w:t>
      </w:r>
      <w:r>
        <w:rPr>
          <w:rFonts w:hint="eastAsia" w:ascii="宋体" w:hAnsi="宋体" w:cs="宋体"/>
          <w:color w:val="000000" w:themeColor="text1"/>
          <w:szCs w:val="21"/>
        </w:rPr>
        <w:t>云浮市公共资源交易网</w:t>
      </w:r>
      <w:r>
        <w:rPr>
          <w:rFonts w:hint="eastAsia" w:ascii="宋体" w:hAnsi="宋体" w:cs="Tahoma"/>
          <w:color w:val="000000" w:themeColor="text1"/>
        </w:rPr>
        <w:t>进行注册登记的</w:t>
      </w:r>
      <w:r>
        <w:rPr>
          <w:rFonts w:hint="eastAsia" w:ascii="宋体" w:hAnsi="宋体" w:cs="Tahoma"/>
          <w:color w:val="000000" w:themeColor="text1"/>
          <w:lang w:eastAsia="zh-CN"/>
        </w:rPr>
        <w:t>报价人</w:t>
      </w:r>
      <w:r>
        <w:rPr>
          <w:rFonts w:hint="eastAsia" w:ascii="宋体" w:hAnsi="宋体" w:cs="Tahoma"/>
          <w:color w:val="000000" w:themeColor="text1"/>
        </w:rPr>
        <w:t>务必于本项目投标截止日前完成注册登记。</w:t>
      </w:r>
    </w:p>
    <w:p>
      <w:pPr>
        <w:snapToGrid w:val="0"/>
        <w:spacing w:line="480" w:lineRule="exact"/>
        <w:ind w:left="200" w:right="420" w:firstLine="4840"/>
        <w:jc w:val="right"/>
        <w:rPr>
          <w:rFonts w:hint="eastAsia" w:ascii="宋体" w:eastAsia="宋体" w:cs="Tahoma"/>
          <w:color w:val="000000" w:themeColor="text1"/>
          <w:lang w:eastAsia="zh-CN"/>
        </w:rPr>
      </w:pPr>
      <w:r>
        <w:rPr>
          <w:rFonts w:hint="eastAsia" w:ascii="宋体" w:hAnsi="宋体" w:cs="Tahoma"/>
          <w:color w:val="000000" w:themeColor="text1"/>
          <w:lang w:eastAsia="zh-CN"/>
        </w:rPr>
        <w:t>广东盈信招标代理有限公司</w:t>
      </w:r>
    </w:p>
    <w:p>
      <w:pPr>
        <w:snapToGrid w:val="0"/>
        <w:spacing w:line="480" w:lineRule="exact"/>
        <w:ind w:left="200" w:right="420" w:firstLine="4840"/>
        <w:jc w:val="right"/>
        <w:rPr>
          <w:rFonts w:hint="eastAsia" w:ascii="宋体" w:eastAsia="宋体" w:cs="Tahoma"/>
          <w:color w:val="000000" w:themeColor="text1"/>
          <w:lang w:eastAsia="zh-CN"/>
        </w:rPr>
      </w:pPr>
      <w:r>
        <w:rPr>
          <w:rFonts w:hint="eastAsia" w:ascii="宋体" w:hAnsi="宋体" w:cs="Tahoma"/>
          <w:color w:val="000000" w:themeColor="text1"/>
          <w:lang w:eastAsia="zh-CN"/>
        </w:rPr>
        <w:t>2020年05月29日</w:t>
      </w:r>
    </w:p>
    <w:p>
      <w:pPr>
        <w:snapToGrid w:val="0"/>
        <w:spacing w:before="60" w:line="360" w:lineRule="auto"/>
        <w:rPr>
          <w:rFonts w:ascii="宋体"/>
          <w:color w:val="auto"/>
        </w:rPr>
        <w:sectPr>
          <w:headerReference r:id="rId8" w:type="default"/>
          <w:footerReference r:id="rId9"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19"/>
        <w:spacing w:line="360" w:lineRule="auto"/>
        <w:jc w:val="center"/>
        <w:rPr>
          <w:color w:val="auto"/>
        </w:rPr>
      </w:pPr>
    </w:p>
    <w:p>
      <w:pPr>
        <w:pStyle w:val="21"/>
        <w:spacing w:line="360" w:lineRule="auto"/>
        <w:jc w:val="both"/>
        <w:rPr>
          <w:color w:val="auto"/>
        </w:rPr>
      </w:pPr>
      <w:r>
        <w:rPr>
          <w:color w:val="auto"/>
        </w:rPr>
        <w:t xml:space="preserve">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4"/>
        <w:numPr>
          <w:ilvl w:val="0"/>
          <w:numId w:val="2"/>
        </w:numPr>
        <w:tabs>
          <w:tab w:val="clear" w:pos="420"/>
        </w:tabs>
        <w:spacing w:beforeLines="0" w:afterLines="0" w:line="360" w:lineRule="auto"/>
        <w:rPr>
          <w:color w:val="auto"/>
        </w:rPr>
      </w:pPr>
      <w:r>
        <w:rPr>
          <w:rFonts w:hint="eastAsia"/>
          <w:color w:val="auto"/>
        </w:rPr>
        <w:t>适用范围</w:t>
      </w:r>
    </w:p>
    <w:p>
      <w:pPr>
        <w:pStyle w:val="5"/>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5"/>
        <w:rPr>
          <w:color w:val="auto"/>
        </w:rPr>
      </w:pPr>
      <w:r>
        <w:rPr>
          <w:color w:val="auto"/>
        </w:rPr>
        <w:t xml:space="preserve">1.2   </w:t>
      </w:r>
      <w:r>
        <w:rPr>
          <w:rFonts w:hint="eastAsia"/>
          <w:color w:val="auto"/>
        </w:rPr>
        <w:t>资金来源：</w:t>
      </w:r>
      <w:r>
        <w:rPr>
          <w:rFonts w:hint="eastAsia"/>
          <w:color w:val="auto"/>
          <w:lang w:eastAsia="zh-CN"/>
        </w:rPr>
        <w:t>财政</w:t>
      </w:r>
      <w:r>
        <w:rPr>
          <w:rFonts w:hint="eastAsia"/>
          <w:color w:val="auto"/>
        </w:rPr>
        <w:t>资金。</w:t>
      </w:r>
    </w:p>
    <w:p>
      <w:pPr>
        <w:pStyle w:val="5"/>
        <w:spacing w:before="60"/>
        <w:rPr>
          <w:rFonts w:hAnsi="宋体"/>
          <w:color w:val="auto"/>
          <w:szCs w:val="21"/>
        </w:rPr>
      </w:pPr>
    </w:p>
    <w:p>
      <w:pPr>
        <w:pStyle w:val="4"/>
        <w:numPr>
          <w:ilvl w:val="0"/>
          <w:numId w:val="2"/>
        </w:numPr>
        <w:tabs>
          <w:tab w:val="clear" w:pos="420"/>
        </w:tabs>
        <w:spacing w:beforeLines="0" w:afterLines="0" w:line="360" w:lineRule="auto"/>
        <w:rPr>
          <w:color w:val="auto"/>
        </w:rPr>
      </w:pPr>
      <w:r>
        <w:rPr>
          <w:rFonts w:hint="eastAsia"/>
          <w:color w:val="auto"/>
        </w:rPr>
        <w:t>定义</w:t>
      </w:r>
    </w:p>
    <w:p>
      <w:pPr>
        <w:pStyle w:val="5"/>
        <w:numPr>
          <w:ilvl w:val="1"/>
          <w:numId w:val="1"/>
        </w:numPr>
        <w:spacing w:before="60"/>
        <w:rPr>
          <w:color w:val="auto"/>
        </w:rPr>
      </w:pPr>
      <w:r>
        <w:rPr>
          <w:rFonts w:hint="eastAsia"/>
          <w:color w:val="auto"/>
        </w:rPr>
        <w:t>“采购人”指本采购项目的委托人。</w:t>
      </w:r>
    </w:p>
    <w:p>
      <w:pPr>
        <w:pStyle w:val="5"/>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5"/>
        <w:numPr>
          <w:ilvl w:val="1"/>
          <w:numId w:val="1"/>
        </w:numPr>
        <w:spacing w:before="60"/>
        <w:rPr>
          <w:color w:val="auto"/>
        </w:rPr>
      </w:pPr>
      <w:r>
        <w:rPr>
          <w:rFonts w:hint="eastAsia"/>
          <w:color w:val="auto"/>
        </w:rPr>
        <w:t>“报价人”指向采购代理机构提交报价文件并参与磋商的法人。</w:t>
      </w:r>
    </w:p>
    <w:p>
      <w:pPr>
        <w:pStyle w:val="5"/>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5"/>
        <w:numPr>
          <w:ilvl w:val="1"/>
          <w:numId w:val="1"/>
        </w:numPr>
        <w:spacing w:before="60"/>
        <w:rPr>
          <w:color w:val="auto"/>
        </w:rPr>
      </w:pPr>
      <w:r>
        <w:rPr>
          <w:rFonts w:hint="eastAsia"/>
          <w:color w:val="auto"/>
        </w:rPr>
        <w:t>“货物”指报价人按磋商文件的规定，须向采购人提供的一切产品、物品及其它材料等。</w:t>
      </w:r>
    </w:p>
    <w:p>
      <w:pPr>
        <w:pStyle w:val="5"/>
        <w:numPr>
          <w:ilvl w:val="1"/>
          <w:numId w:val="1"/>
        </w:numPr>
        <w:spacing w:before="60"/>
        <w:rPr>
          <w:rFonts w:hAnsi="宋体"/>
          <w:color w:val="auto"/>
          <w:szCs w:val="21"/>
        </w:rPr>
      </w:pPr>
      <w:r>
        <w:rPr>
          <w:rFonts w:hint="eastAsia"/>
          <w:color w:val="auto"/>
        </w:rPr>
        <w:t>“服务”指报价人提供的货物所需的相关服务以及用户需求书中要求的其他服务。</w:t>
      </w:r>
    </w:p>
    <w:p>
      <w:pPr>
        <w:pStyle w:val="5"/>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4"/>
        <w:numPr>
          <w:ilvl w:val="0"/>
          <w:numId w:val="2"/>
        </w:numPr>
        <w:tabs>
          <w:tab w:val="clear" w:pos="420"/>
        </w:tabs>
        <w:spacing w:beforeLines="0" w:afterLines="0" w:line="360" w:lineRule="auto"/>
        <w:rPr>
          <w:rFonts w:hint="eastAsia" w:ascii="宋体" w:hAnsi="宋体" w:cs="宋体"/>
          <w:bCs/>
          <w:color w:val="auto"/>
          <w:szCs w:val="21"/>
          <w:lang w:eastAsia="zh-CN"/>
        </w:rPr>
      </w:pPr>
      <w:r>
        <w:rPr>
          <w:rFonts w:hint="eastAsia"/>
          <w:color w:val="auto"/>
        </w:rPr>
        <w:t>合格的报价人</w:t>
      </w:r>
    </w:p>
    <w:p>
      <w:pPr>
        <w:pStyle w:val="4"/>
        <w:numPr>
          <w:ilvl w:val="0"/>
          <w:numId w:val="0"/>
        </w:numPr>
        <w:spacing w:beforeLines="0" w:afterLines="0" w:line="360" w:lineRule="auto"/>
        <w:ind w:leftChars="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3.1</w:t>
      </w:r>
      <w:r>
        <w:rPr>
          <w:rFonts w:hint="eastAsia" w:hAnsi="宋体" w:cs="宋体"/>
          <w:b w:val="0"/>
          <w:bCs w:val="0"/>
          <w:color w:val="auto"/>
          <w:sz w:val="21"/>
          <w:szCs w:val="21"/>
          <w:lang w:val="en-US" w:eastAsia="zh-CN"/>
        </w:rPr>
        <w:t xml:space="preserve"> </w:t>
      </w:r>
      <w:r>
        <w:rPr>
          <w:rFonts w:hint="eastAsia" w:ascii="宋体" w:hAnsi="宋体" w:cs="宋体"/>
          <w:b w:val="0"/>
          <w:bCs w:val="0"/>
          <w:color w:val="auto"/>
          <w:sz w:val="21"/>
          <w:szCs w:val="21"/>
        </w:rPr>
        <w:t xml:space="preserve"> </w:t>
      </w:r>
      <w:r>
        <w:rPr>
          <w:rFonts w:hint="eastAsia" w:hAnsi="宋体" w:cs="宋体"/>
          <w:b w:val="0"/>
          <w:bCs w:val="0"/>
          <w:color w:val="auto"/>
          <w:sz w:val="21"/>
          <w:szCs w:val="21"/>
          <w:lang w:val="en-US" w:eastAsia="zh-CN"/>
        </w:rPr>
        <w:t xml:space="preserve"> </w:t>
      </w:r>
      <w:r>
        <w:rPr>
          <w:rFonts w:hint="eastAsia" w:ascii="宋体" w:hAnsi="宋体" w:cs="宋体"/>
          <w:b w:val="0"/>
          <w:bCs w:val="0"/>
          <w:color w:val="auto"/>
          <w:sz w:val="21"/>
          <w:szCs w:val="21"/>
          <w:lang w:eastAsia="zh-CN"/>
        </w:rPr>
        <w:t>供应商应具备《政府采购法》第二十二条规定的条件。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left="636" w:leftChars="303" w:firstLine="0" w:firstLineChars="0"/>
        <w:textAlignment w:val="auto"/>
        <w:rPr>
          <w:rFonts w:hint="eastAsia"/>
          <w:color w:val="auto"/>
        </w:rPr>
      </w:pP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cs="宋体"/>
          <w:color w:val="auto"/>
        </w:rPr>
        <w:t>提供企业法人营业执照（三证合一证明）</w:t>
      </w:r>
      <w:r>
        <w:rPr>
          <w:rFonts w:hint="eastAsia" w:ascii="宋体" w:hAnsi="宋体" w:cs="宋体"/>
          <w:color w:val="auto"/>
          <w:lang w:eastAsia="zh-CN"/>
        </w:rPr>
        <w:t>证明文件</w:t>
      </w:r>
      <w:r>
        <w:rPr>
          <w:rFonts w:hint="eastAsia"/>
          <w:color w:val="auto"/>
        </w:rPr>
        <w:t>。</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2</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2018或2019年的财务报告，或提供2019年6月至今任意一个月（至少提供其中任意一个月）的财务报告（提供由会计师事务所出具的审计报告）；或提供银行出具的资信证明；报价人为新注册的，提供2019年6月至今其中任意一个月的财务状况报表复印件</w:t>
      </w:r>
      <w:r>
        <w:rPr>
          <w:rFonts w:hint="eastAsia"/>
          <w:color w:val="auto"/>
          <w:sz w:val="21"/>
        </w:rPr>
        <w:t>。</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3</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w:t>
      </w:r>
      <w:r>
        <w:rPr>
          <w:rFonts w:hint="eastAsia"/>
          <w:color w:val="auto"/>
          <w:sz w:val="21"/>
          <w:lang w:eastAsia="zh-CN"/>
        </w:rPr>
        <w:t>2019年</w:t>
      </w:r>
      <w:r>
        <w:rPr>
          <w:rFonts w:hint="eastAsia"/>
          <w:color w:val="auto"/>
          <w:sz w:val="21"/>
          <w:lang w:val="en-US" w:eastAsia="zh-CN"/>
        </w:rPr>
        <w:t>6月至今任意一个月</w:t>
      </w:r>
      <w:r>
        <w:rPr>
          <w:rFonts w:hint="eastAsia"/>
          <w:color w:val="auto"/>
          <w:sz w:val="21"/>
        </w:rPr>
        <w:t>（至少提供其中任意一个月）缴纳税收和社保的凭证。如依法免税或不需要缴纳社会保障资金的，应提供相应文件证明。</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4</w:t>
      </w:r>
      <w:r>
        <w:rPr>
          <w:rFonts w:hint="eastAsia" w:cs="宋体"/>
          <w:color w:val="auto"/>
          <w:sz w:val="21"/>
          <w:lang w:eastAsia="zh-CN"/>
        </w:rPr>
        <w:t>）</w:t>
      </w:r>
      <w:r>
        <w:rPr>
          <w:rFonts w:hint="eastAsia" w:cs="宋体"/>
          <w:color w:val="auto"/>
          <w:sz w:val="21"/>
          <w:lang w:val="en-US" w:eastAsia="zh-CN"/>
        </w:rPr>
        <w:t xml:space="preserve"> </w:t>
      </w:r>
      <w:r>
        <w:rPr>
          <w:rFonts w:hint="eastAsia"/>
          <w:color w:val="auto"/>
          <w:sz w:val="21"/>
        </w:rPr>
        <w:t>提供</w:t>
      </w:r>
      <w:r>
        <w:rPr>
          <w:rFonts w:hint="eastAsia"/>
          <w:color w:val="auto"/>
          <w:sz w:val="21"/>
          <w:lang w:val="en-US" w:eastAsia="zh-CN"/>
        </w:rPr>
        <w:t>为本项目服务的</w:t>
      </w:r>
      <w:r>
        <w:rPr>
          <w:rFonts w:hint="eastAsia"/>
          <w:color w:val="auto"/>
          <w:sz w:val="21"/>
        </w:rPr>
        <w:t>设备清单以及技术人员的名单材料。</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default"/>
          <w:color w:val="auto"/>
          <w:sz w:val="21"/>
          <w:lang w:val="en-US" w:eastAsia="zh-CN"/>
        </w:rPr>
      </w:pPr>
      <w:r>
        <w:rPr>
          <w:rFonts w:hint="eastAsia"/>
          <w:color w:val="auto"/>
          <w:sz w:val="21"/>
          <w:lang w:val="en-US" w:eastAsia="zh-CN"/>
        </w:rPr>
        <w:t xml:space="preserve">5） </w:t>
      </w:r>
      <w:r>
        <w:rPr>
          <w:rFonts w:hint="eastAsia"/>
          <w:color w:val="auto"/>
          <w:sz w:val="21"/>
          <w:lang w:eastAsia="zh-CN"/>
        </w:rPr>
        <w:t>提供参加政府采购活动前3年内在经营活动中没有重大违法记录的书面声明。</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bookmarkStart w:id="2" w:name="_Toc61460073"/>
      <w:r>
        <w:rPr>
          <w:rFonts w:hint="eastAsia" w:hAnsi="宋体" w:cs="宋体"/>
          <w:bCs/>
          <w:color w:val="auto"/>
          <w:szCs w:val="21"/>
          <w:lang w:val="en-US" w:eastAsia="zh-CN"/>
        </w:rPr>
        <w:t xml:space="preserve">3.2   </w:t>
      </w:r>
      <w:r>
        <w:rPr>
          <w:rFonts w:hint="eastAsia" w:ascii="宋体" w:hAnsi="宋体" w:cs="宋体"/>
          <w:bCs/>
          <w:color w:val="auto"/>
          <w:szCs w:val="21"/>
          <w:lang w:eastAsia="zh-CN"/>
        </w:rPr>
        <w:t>投标人必须是在中华人民共和国境内注册的具有独立承担民事责任能力的法人或其他组织，具有从事本项目的经营范围和能力。</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3.3   </w:t>
      </w:r>
      <w:r>
        <w:rPr>
          <w:rFonts w:hint="eastAsia" w:ascii="宋体" w:hAnsi="宋体" w:cs="宋体"/>
          <w:bCs/>
          <w:color w:val="auto"/>
          <w:szCs w:val="21"/>
          <w:lang w:eastAsia="zh-CN"/>
        </w:rPr>
        <w:t xml:space="preserve">报价人未被列入“信用中国”网站(www.creditchina.gov.cn)“失信被执行人或重大税收违法案件当事人名单”记录名单；不处于中国政府采购网(www.ccgp.gov.cn)“政府采购严重违法失信行为信息记录”中的禁止参加政府采购活动期间。【在“信用中国”网站（www.creditchina.gov.cn）及中国政府采购网(www.ccgp.gov.cn)查询结果以报价商提供截图并加盖公章为准，如查询结果显示“没查到您要的信息”，视为没有上述不良信用记录，如相关失信记录已失效，投标人需提供相关证明资料】，提供查询结果截图证明；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3.4   </w:t>
      </w:r>
      <w:r>
        <w:rPr>
          <w:rFonts w:hint="eastAsia" w:ascii="宋体" w:hAnsi="宋体" w:cs="宋体"/>
          <w:bCs/>
          <w:color w:val="auto"/>
          <w:szCs w:val="21"/>
          <w:lang w:eastAsia="zh-CN"/>
        </w:rPr>
        <w:t xml:space="preserve">为采购项目提供整体设计、规范编制或者项目管理、监理、检测等服务的供应商，不得再参加该采购项目的其他采购活动。（提供《承诺书》）；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3.5   </w:t>
      </w:r>
      <w:r>
        <w:rPr>
          <w:rFonts w:hint="eastAsia" w:ascii="宋体" w:hAnsi="宋体" w:cs="宋体"/>
          <w:bCs/>
          <w:color w:val="auto"/>
          <w:szCs w:val="21"/>
          <w:lang w:eastAsia="zh-CN"/>
        </w:rPr>
        <w:t xml:space="preserve">单位负责人为同一人或者存在直接控股、管理关系的不同供应商，不得参加同一合同项下的政府采购活动（以国家企业信用信息公示系统www.gsxt.gov.cn查询结果为准）；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3.6    </w:t>
      </w:r>
      <w:r>
        <w:rPr>
          <w:rFonts w:hint="eastAsia" w:ascii="宋体" w:hAnsi="宋体" w:cs="宋体"/>
          <w:bCs/>
          <w:color w:val="auto"/>
          <w:szCs w:val="21"/>
          <w:lang w:eastAsia="zh-CN"/>
        </w:rPr>
        <w:t xml:space="preserve">本项目不接受联合体投标。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widowControl w:val="0"/>
        <w:numPr>
          <w:ilvl w:val="0"/>
          <w:numId w:val="5"/>
        </w:numPr>
        <w:tabs>
          <w:tab w:val="left" w:pos="735"/>
          <w:tab w:val="left" w:pos="900"/>
        </w:tabs>
        <w:spacing w:before="60" w:line="360" w:lineRule="auto"/>
        <w:ind w:left="720"/>
        <w:rPr>
          <w:rFonts w:ascii="宋体"/>
          <w:color w:val="auto"/>
          <w:szCs w:val="21"/>
        </w:rPr>
      </w:pPr>
      <w:r>
        <w:rPr>
          <w:rFonts w:hint="eastAsia" w:ascii="宋体" w:hAnsi="宋体"/>
          <w:color w:val="auto"/>
          <w:szCs w:val="21"/>
        </w:rPr>
        <w:t>报价人应以人民币报价。若由单价计算得出的总价与报价总价不一致，以单价计算得出的总价作为报价总价。若中文文字形式表示的数值与数字形式表示的数值不一致，以中文文字形式表示的数值为准。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w:t>
      </w:r>
      <w:r>
        <w:rPr>
          <w:rFonts w:hint="eastAsia" w:ascii="宋体" w:hAnsi="宋体"/>
          <w:color w:val="auto"/>
          <w:szCs w:val="21"/>
          <w:lang w:eastAsia="zh-CN"/>
        </w:rPr>
        <w:t>签章</w:t>
      </w:r>
      <w:r>
        <w:rPr>
          <w:rFonts w:hint="eastAsia" w:ascii="宋体" w:hAnsi="宋体"/>
          <w:color w:val="auto"/>
          <w:szCs w:val="21"/>
        </w:rPr>
        <w:t>，并需将以书面形式出具的“法定代表人授权书”附在报价文件中。任何行间插字、涂改和增删，必须由报价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w:t>
      </w:r>
      <w:r>
        <w:rPr>
          <w:rFonts w:hint="eastAsia" w:hAnsi="宋体"/>
          <w:color w:val="auto"/>
          <w:lang w:eastAsia="zh-CN"/>
        </w:rPr>
        <w:t>签章</w:t>
      </w:r>
      <w:r>
        <w:rPr>
          <w:rFonts w:hint="eastAsia" w:hAnsi="宋体"/>
          <w:color w:val="auto"/>
        </w:rPr>
        <w:t>。授权代表须将以书面形式出具的“授权证书”附在报价文件中。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报价文件的正本，磋商文件中已明示需盖章</w:t>
      </w:r>
      <w:r>
        <w:rPr>
          <w:rFonts w:hint="eastAsia" w:hAnsi="宋体"/>
          <w:color w:val="auto"/>
          <w:lang w:eastAsia="zh-CN"/>
        </w:rPr>
        <w:t>签章</w:t>
      </w:r>
      <w:r>
        <w:rPr>
          <w:rFonts w:hint="eastAsia" w:hAnsi="宋体"/>
          <w:color w:val="auto"/>
        </w:rPr>
        <w:t>处，均须由报价人加盖报价人公章，并经报价人法定代表人或其授权代表</w:t>
      </w:r>
      <w:r>
        <w:rPr>
          <w:rFonts w:hint="eastAsia" w:hAnsi="宋体"/>
          <w:color w:val="auto"/>
          <w:lang w:eastAsia="zh-CN"/>
        </w:rPr>
        <w:t>签章</w:t>
      </w:r>
      <w:r>
        <w:rPr>
          <w:rFonts w:hint="eastAsia" w:hAnsi="宋体"/>
          <w:color w:val="auto"/>
        </w:rPr>
        <w:t>。如果《报价资料表》允许报价人为联合体，联合体在签署报价文件时应在报价人名称后面注明“联合体”字样。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7"/>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keepNext w:val="0"/>
              <w:keepLines w:val="0"/>
              <w:widowControl/>
              <w:suppressLineNumbers w:val="0"/>
              <w:spacing w:before="0" w:beforeAutospacing="0" w:after="0" w:afterAutospacing="0" w:line="360" w:lineRule="auto"/>
              <w:ind w:left="180" w:right="0"/>
              <w:rPr>
                <w:rFonts w:hint="default" w:ascii="宋体"/>
                <w:color w:val="auto"/>
                <w:szCs w:val="21"/>
              </w:rPr>
            </w:pPr>
          </w:p>
          <w:p>
            <w:pPr>
              <w:keepNext w:val="0"/>
              <w:keepLines w:val="0"/>
              <w:widowControl/>
              <w:suppressLineNumbers w:val="0"/>
              <w:spacing w:before="0" w:beforeAutospacing="0" w:after="0" w:afterAutospacing="0" w:line="360" w:lineRule="auto"/>
              <w:ind w:left="0" w:right="0"/>
              <w:jc w:val="right"/>
              <w:rPr>
                <w:rFonts w:hint="default" w:ascii="宋体"/>
                <w:color w:val="auto"/>
                <w:szCs w:val="21"/>
              </w:rPr>
            </w:pPr>
            <w:r>
              <w:rPr>
                <w:rFonts w:hint="eastAsia" w:ascii="宋体" w:hAnsi="宋体"/>
                <w:color w:val="auto"/>
                <w:szCs w:val="21"/>
              </w:rPr>
              <w:t>（正本</w:t>
            </w:r>
            <w:r>
              <w:rPr>
                <w:rFonts w:hint="default" w:ascii="宋体" w:hAnsi="宋体"/>
                <w:color w:val="auto"/>
                <w:szCs w:val="21"/>
              </w:rPr>
              <w:t>/</w:t>
            </w:r>
            <w:r>
              <w:rPr>
                <w:rFonts w:hint="eastAsia" w:ascii="宋体" w:hAnsi="宋体"/>
                <w:color w:val="auto"/>
                <w:szCs w:val="21"/>
              </w:rPr>
              <w:t>副本）</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于“</w:t>
            </w:r>
            <w:r>
              <w:rPr>
                <w:rFonts w:hint="default" w:ascii="宋体" w:hAnsi="宋体"/>
                <w:color w:val="auto"/>
                <w:szCs w:val="21"/>
              </w:rPr>
              <w:t xml:space="preserve">      </w:t>
            </w:r>
            <w:r>
              <w:rPr>
                <w:rFonts w:hint="eastAsia" w:ascii="宋体" w:hAnsi="宋体"/>
                <w:color w:val="auto"/>
                <w:szCs w:val="21"/>
              </w:rPr>
              <w:t>年</w:t>
            </w:r>
            <w:r>
              <w:rPr>
                <w:rFonts w:hint="default" w:ascii="宋体" w:hAnsi="宋体"/>
                <w:color w:val="auto"/>
                <w:szCs w:val="21"/>
              </w:rPr>
              <w:t xml:space="preserve">     </w:t>
            </w:r>
            <w:r>
              <w:rPr>
                <w:rFonts w:hint="eastAsia" w:ascii="宋体" w:hAnsi="宋体"/>
                <w:color w:val="auto"/>
                <w:szCs w:val="21"/>
              </w:rPr>
              <w:t>月</w:t>
            </w:r>
            <w:r>
              <w:rPr>
                <w:rFonts w:hint="default" w:ascii="宋体" w:hAnsi="宋体"/>
                <w:color w:val="auto"/>
                <w:szCs w:val="21"/>
              </w:rPr>
              <w:t xml:space="preserve">     </w:t>
            </w:r>
            <w:r>
              <w:rPr>
                <w:rFonts w:hint="eastAsia" w:ascii="宋体" w:hAnsi="宋体"/>
                <w:color w:val="auto"/>
                <w:szCs w:val="21"/>
              </w:rPr>
              <w:t>日</w:t>
            </w:r>
            <w:r>
              <w:rPr>
                <w:rFonts w:hint="default" w:ascii="宋体" w:hAnsi="宋体"/>
                <w:color w:val="auto"/>
                <w:szCs w:val="21"/>
              </w:rPr>
              <w:t xml:space="preserve">     </w:t>
            </w:r>
            <w:r>
              <w:rPr>
                <w:rFonts w:hint="eastAsia" w:ascii="宋体" w:hAnsi="宋体"/>
                <w:color w:val="auto"/>
                <w:szCs w:val="21"/>
              </w:rPr>
              <w:t>时</w:t>
            </w:r>
            <w:r>
              <w:rPr>
                <w:rFonts w:hint="default" w:ascii="宋体" w:hAnsi="宋体"/>
                <w:color w:val="auto"/>
                <w:szCs w:val="21"/>
              </w:rPr>
              <w:t xml:space="preserve">    </w:t>
            </w:r>
            <w:r>
              <w:rPr>
                <w:rFonts w:hint="eastAsia" w:ascii="宋体" w:hAnsi="宋体"/>
                <w:color w:val="auto"/>
                <w:szCs w:val="21"/>
              </w:rPr>
              <w:t>分”之前不准启封（即磋商截止时间）</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项目名称：</w:t>
            </w:r>
            <w:r>
              <w:rPr>
                <w:rFonts w:hint="eastAsia" w:ascii="宋体" w:hAnsi="宋体"/>
                <w:color w:val="auto"/>
                <w:szCs w:val="21"/>
                <w:lang w:eastAsia="zh-CN"/>
              </w:rPr>
              <w:t>广东罗定金银湖国家湿地公园科研监测设备采购及在线监测系统集成服务项目</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eastAsia" w:ascii="宋体" w:eastAsia="宋体"/>
                <w:color w:val="auto"/>
                <w:szCs w:val="21"/>
                <w:lang w:eastAsia="zh-CN"/>
              </w:rPr>
            </w:pPr>
            <w:r>
              <w:rPr>
                <w:rFonts w:hint="eastAsia" w:ascii="宋体" w:hAnsi="宋体"/>
                <w:color w:val="auto"/>
                <w:szCs w:val="21"/>
                <w:lang w:eastAsia="zh-CN"/>
              </w:rPr>
              <w:t xml:space="preserve">项目采购编号：445381-202005-81327002-0002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报价人名称：</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报价人地址：</w:t>
            </w:r>
            <w:r>
              <w:rPr>
                <w:rFonts w:hint="default" w:ascii="宋体" w:hAnsi="宋体"/>
                <w:color w:val="auto"/>
                <w:szCs w:val="21"/>
              </w:rPr>
              <w:t xml:space="preserve">                                  </w:t>
            </w:r>
            <w:r>
              <w:rPr>
                <w:rFonts w:hint="eastAsia" w:ascii="宋体" w:hAnsi="宋体"/>
                <w:color w:val="auto"/>
                <w:szCs w:val="21"/>
              </w:rPr>
              <w:t>邮政编码：</w:t>
            </w:r>
          </w:p>
          <w:p>
            <w:pPr>
              <w:pStyle w:val="5"/>
              <w:keepNext w:val="0"/>
              <w:keepLines w:val="0"/>
              <w:suppressLineNumbers w:val="0"/>
              <w:tabs>
                <w:tab w:val="left" w:pos="102"/>
              </w:tabs>
              <w:spacing w:before="0" w:beforeAutospacing="0" w:after="0" w:afterAutospacing="0"/>
              <w:ind w:left="-599" w:right="0" w:firstLine="804" w:firstLineChars="383"/>
              <w:jc w:val="left"/>
              <w:rPr>
                <w:rFonts w:hint="default" w:hAnsi="宋体"/>
                <w:color w:val="auto"/>
                <w:szCs w:val="21"/>
              </w:rPr>
            </w:pPr>
            <w:r>
              <w:rPr>
                <w:rFonts w:hint="eastAsia" w:hAnsi="宋体"/>
                <w:color w:val="auto"/>
                <w:szCs w:val="21"/>
              </w:rPr>
              <w:t>报价人代表：</w:t>
            </w:r>
            <w:r>
              <w:rPr>
                <w:rFonts w:hint="default"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hint="eastAsia" w:ascii="宋体" w:hAnsi="宋体"/>
          <w:color w:val="auto"/>
          <w:szCs w:val="21"/>
          <w:lang w:val="en-US" w:eastAsia="zh-CN"/>
        </w:rPr>
        <w:t>6</w:t>
      </w:r>
      <w:r>
        <w:rPr>
          <w:rFonts w:ascii="宋体" w:hAnsi="宋体"/>
          <w:color w:val="auto"/>
          <w:szCs w:val="21"/>
        </w:rPr>
        <w:t>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exact"/>
        <w:textAlignment w:val="auto"/>
        <w:rPr>
          <w:rFonts w:ascii="宋体" w:cs="Tahoma"/>
          <w:color w:val="auto"/>
          <w:szCs w:val="21"/>
        </w:rPr>
      </w:pPr>
      <w:r>
        <w:rPr>
          <w:rFonts w:ascii="宋体" w:hAnsi="宋体"/>
          <w:color w:val="auto"/>
          <w:szCs w:val="21"/>
        </w:rPr>
        <w:t>5.3</w:t>
      </w:r>
      <w:r>
        <w:rPr>
          <w:rFonts w:ascii="宋体" w:hAnsi="宋体"/>
          <w:color w:val="auto"/>
          <w:szCs w:val="21"/>
        </w:rPr>
        <w:tab/>
      </w:r>
      <w:r>
        <w:rPr>
          <w:rFonts w:hint="eastAsia" w:ascii="宋体" w:hAnsi="宋体"/>
          <w:b/>
          <w:color w:val="auto"/>
          <w:szCs w:val="21"/>
        </w:rPr>
        <w:t>报价保证金可以采用电汇、银行转帐形式提交：</w:t>
      </w:r>
    </w:p>
    <w:p>
      <w:pPr>
        <w:keepNext w:val="0"/>
        <w:keepLines w:val="0"/>
        <w:pageBreakBefore w:val="0"/>
        <w:widowControl/>
        <w:kinsoku/>
        <w:wordWrap/>
        <w:overflowPunct/>
        <w:topLinePunct w:val="0"/>
        <w:autoSpaceDE/>
        <w:autoSpaceDN/>
        <w:bidi w:val="0"/>
        <w:adjustRightInd/>
        <w:spacing w:line="480" w:lineRule="exact"/>
        <w:ind w:left="540" w:leftChars="257"/>
        <w:textAlignment w:val="auto"/>
        <w:rPr>
          <w:rFonts w:hint="eastAsia" w:ascii="宋体" w:hAnsi="宋体" w:cs="宋体"/>
          <w:color w:val="auto"/>
          <w:szCs w:val="21"/>
        </w:rPr>
      </w:pPr>
      <w:r>
        <w:rPr>
          <w:rStyle w:val="70"/>
          <w:rFonts w:hint="eastAsia" w:ascii="宋体" w:hAnsi="宋体" w:cs="宋体"/>
          <w:b/>
          <w:color w:val="auto"/>
        </w:rPr>
        <w:t>(1)</w:t>
      </w:r>
      <w:r>
        <w:rPr>
          <w:rFonts w:hint="eastAsia" w:ascii="宋体" w:hAnsi="宋体" w:cs="宋体"/>
          <w:b/>
          <w:color w:val="auto"/>
          <w:szCs w:val="21"/>
        </w:rPr>
        <w:t> 通过电汇、银行转账形式递交保证金，由报价人对公帐户转入如下账户（交款时报价人向银行提供项目编号，由银行开具收款单盖章交给客户留底，作为保证金收取依据）。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exact"/>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spacing w:line="360" w:lineRule="auto"/>
        <w:ind w:firstLine="930" w:firstLineChars="441"/>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spacing w:line="480" w:lineRule="exact"/>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480" w:lineRule="exact"/>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 xml:space="preserve">采购项目编号：445381-202005-81327002-0002 </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ascii="宋体"/>
          <w:b/>
          <w:color w:val="auto"/>
          <w:szCs w:val="21"/>
          <w:u w:val="single"/>
        </w:rPr>
      </w:pPr>
      <w:r>
        <w:rPr>
          <w:rFonts w:hint="eastAsia" w:ascii="宋体" w:hAnsi="宋体" w:cs="宋体"/>
          <w:b/>
          <w:iCs/>
          <w:color w:val="auto"/>
        </w:rPr>
        <w:t>（3）</w:t>
      </w:r>
      <w:r>
        <w:rPr>
          <w:rFonts w:hint="eastAsia" w:ascii="宋体" w:hAnsi="宋体" w:cs="宋体"/>
          <w:b/>
          <w:iCs/>
          <w:color w:val="auto"/>
          <w:lang w:val="en-US" w:eastAsia="zh-CN"/>
        </w:rPr>
        <w:t>报价</w:t>
      </w:r>
      <w:r>
        <w:rPr>
          <w:rFonts w:hint="eastAsia" w:ascii="宋体" w:hAnsi="宋体" w:cs="宋体"/>
          <w:b/>
          <w:iCs/>
          <w:color w:val="auto"/>
        </w:rPr>
        <w:t>保证金银行划帐后，请把划帐单传真到代理公司(0766-</w:t>
      </w:r>
      <w:r>
        <w:rPr>
          <w:rFonts w:hint="eastAsia" w:ascii="宋体" w:hAnsi="宋体" w:cs="宋体"/>
          <w:b/>
          <w:iCs/>
          <w:color w:val="auto"/>
          <w:lang w:eastAsia="zh-CN"/>
        </w:rPr>
        <w:t>3835653</w:t>
      </w:r>
      <w:r>
        <w:rPr>
          <w:rFonts w:hint="eastAsia" w:ascii="宋体" w:hAnsi="宋体" w:cs="宋体"/>
          <w:b/>
          <w:iCs/>
          <w:color w:val="auto"/>
        </w:rPr>
        <w:t>)，并注明项目编号，以方便统计之用。</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auto"/>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8"/>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8"/>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w:t>
      </w:r>
      <w:r>
        <w:rPr>
          <w:rFonts w:hint="eastAsia" w:ascii="宋体" w:hAnsi="宋体"/>
          <w:color w:val="auto"/>
          <w:szCs w:val="21"/>
          <w:lang w:eastAsia="zh-CN"/>
        </w:rPr>
        <w:t>签章</w:t>
      </w:r>
      <w:r>
        <w:rPr>
          <w:rFonts w:hint="eastAsia" w:ascii="宋体" w:hAnsi="宋体"/>
          <w:color w:val="auto"/>
          <w:szCs w:val="21"/>
        </w:rPr>
        <w:t>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0"/>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asci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widowControl w:val="0"/>
        <w:snapToGrid w:val="0"/>
        <w:spacing w:before="60" w:line="360" w:lineRule="auto"/>
        <w:ind w:left="735" w:hanging="735" w:hangingChars="350"/>
        <w:rPr>
          <w:rFonts w:hint="eastAsia" w:ascii="宋体" w:hAnsi="宋体" w:cs="Arial"/>
          <w:color w:val="auto"/>
          <w:szCs w:val="21"/>
        </w:rPr>
      </w:pPr>
      <w:r>
        <w:rPr>
          <w:rFonts w:hint="eastAsia" w:ascii="宋体" w:hAnsi="宋体" w:cs="Arial"/>
          <w:color w:val="auto"/>
          <w:szCs w:val="21"/>
        </w:rPr>
        <w:t xml:space="preserve"> </w:t>
      </w:r>
      <w:r>
        <w:rPr>
          <w:rFonts w:hint="eastAsia" w:ascii="宋体" w:hAnsi="宋体" w:cs="Arial"/>
          <w:color w:val="auto"/>
          <w:szCs w:val="21"/>
          <w:lang w:eastAsia="zh-CN"/>
        </w:rPr>
        <w:t>（</w:t>
      </w:r>
      <w:r>
        <w:rPr>
          <w:rFonts w:hint="eastAsia" w:ascii="宋体" w:hAnsi="宋体" w:cs="Arial"/>
          <w:color w:val="auto"/>
          <w:szCs w:val="21"/>
          <w:lang w:val="en-US" w:eastAsia="zh-CN"/>
        </w:rPr>
        <w:t>1</w:t>
      </w:r>
      <w:r>
        <w:rPr>
          <w:rFonts w:hint="eastAsia" w:ascii="宋体" w:hAnsi="宋体" w:cs="Arial"/>
          <w:color w:val="auto"/>
          <w:szCs w:val="21"/>
          <w:lang w:eastAsia="zh-CN"/>
        </w:rPr>
        <w:t>）</w:t>
      </w:r>
      <w:r>
        <w:rPr>
          <w:rFonts w:hint="eastAsia" w:ascii="宋体" w:hAnsi="宋体" w:cs="Arial"/>
          <w:color w:val="auto"/>
          <w:szCs w:val="21"/>
          <w:lang w:val="en-US" w:eastAsia="zh-CN"/>
        </w:rPr>
        <w:t xml:space="preserve"> </w:t>
      </w:r>
      <w:r>
        <w:rPr>
          <w:rFonts w:hint="eastAsia" w:ascii="宋体" w:hAnsi="宋体" w:cs="Arial"/>
          <w:color w:val="auto"/>
          <w:szCs w:val="21"/>
        </w:rPr>
        <w:t>评标委员会根据“投标文件</w:t>
      </w:r>
      <w:r>
        <w:rPr>
          <w:rFonts w:hint="eastAsia" w:ascii="宋体" w:hAnsi="宋体" w:cs="Arial"/>
          <w:color w:val="auto"/>
          <w:szCs w:val="21"/>
          <w:lang w:eastAsia="zh-CN"/>
        </w:rPr>
        <w:t>资格、符合性审查</w:t>
      </w:r>
      <w:r>
        <w:rPr>
          <w:rFonts w:hint="eastAsia" w:ascii="宋体" w:hAnsi="宋体" w:cs="Arial"/>
          <w:color w:val="auto"/>
          <w:szCs w:val="21"/>
        </w:rPr>
        <w:t>表”对投标文件的资格性和符合性进行评审，不能通过资格性审查的报价人，无需进行符合性审查，只有对“</w:t>
      </w:r>
      <w:r>
        <w:rPr>
          <w:rFonts w:hint="eastAsia" w:ascii="宋体" w:hAnsi="宋体" w:cs="Arial"/>
          <w:color w:val="auto"/>
          <w:szCs w:val="21"/>
          <w:lang w:eastAsia="zh-CN"/>
        </w:rPr>
        <w:t>投标文件资格、符合性审查表</w:t>
      </w:r>
      <w:r>
        <w:rPr>
          <w:rFonts w:hint="eastAsia" w:ascii="宋体" w:hAnsi="宋体" w:cs="Arial"/>
          <w:color w:val="auto"/>
          <w:szCs w:val="21"/>
        </w:rPr>
        <w:t>”所列各项作出实质性响应的投标文件才能通过初步评审。对是否实质性响应磋商文件的要求有争议的投标，评标委员会将以记名方式表决，得票超过半数的报价人有资格进入下一阶段的评审，</w:t>
      </w:r>
      <w:r>
        <w:rPr>
          <w:rFonts w:hint="eastAsia" w:ascii="宋体" w:hAnsi="宋体" w:cs="Arial"/>
          <w:color w:val="auto"/>
          <w:szCs w:val="21"/>
          <w:lang w:eastAsia="zh-CN"/>
        </w:rPr>
        <w:t>否</w:t>
      </w:r>
      <w:r>
        <w:rPr>
          <w:rFonts w:hint="eastAsia" w:ascii="宋体" w:hAnsi="宋体" w:cs="Arial"/>
          <w:color w:val="auto"/>
          <w:szCs w:val="21"/>
        </w:rPr>
        <w:t>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hint="eastAsia" w:hAnsi="宋体"/>
          <w:color w:val="auto"/>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lang w:eastAsia="zh-CN"/>
        </w:rPr>
        <w:t>技术商务</w:t>
      </w:r>
      <w:r>
        <w:rPr>
          <w:rFonts w:hint="eastAsia" w:ascii="宋体"/>
          <w:color w:val="auto"/>
        </w:rPr>
        <w:t>评分。各评委的评分的算术平均值即为该报价人的</w:t>
      </w:r>
      <w:r>
        <w:rPr>
          <w:rFonts w:hint="eastAsia" w:ascii="宋体" w:hAnsi="宋体"/>
          <w:color w:val="auto"/>
          <w:lang w:eastAsia="zh-CN"/>
        </w:rPr>
        <w:t>技术商务</w:t>
      </w:r>
      <w:r>
        <w:rPr>
          <w:rFonts w:hint="eastAsia" w:ascii="宋体"/>
          <w:color w:val="auto"/>
        </w:rPr>
        <w:t>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widowControl w:val="0"/>
        <w:snapToGrid w:val="0"/>
        <w:spacing w:before="60" w:line="360" w:lineRule="auto"/>
        <w:ind w:left="638" w:leftChars="104" w:hanging="420" w:hangingChars="200"/>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lang w:eastAsia="zh-CN"/>
        </w:rPr>
        <w:t>技术商务</w:t>
      </w:r>
      <w:r>
        <w:rPr>
          <w:rFonts w:hint="eastAsia" w:hAnsi="宋体"/>
          <w:color w:val="auto"/>
        </w:rPr>
        <w:t>评审：</w:t>
      </w:r>
      <w:r>
        <w:rPr>
          <w:rFonts w:hint="eastAsia" w:ascii="宋体" w:hAnsi="宋体"/>
          <w:color w:val="auto"/>
          <w:lang w:eastAsia="zh-CN"/>
        </w:rPr>
        <w:t>技术商务</w:t>
      </w:r>
      <w:r>
        <w:rPr>
          <w:rFonts w:hint="eastAsia" w:ascii="宋体" w:hAnsi="宋体"/>
          <w:color w:val="auto"/>
        </w:rPr>
        <w:t>评分各单项所占权重详见附表《</w:t>
      </w:r>
      <w:r>
        <w:rPr>
          <w:rFonts w:hint="eastAsia" w:ascii="宋体" w:hAnsi="宋体"/>
          <w:color w:val="auto"/>
          <w:lang w:eastAsia="zh-CN"/>
        </w:rPr>
        <w:t>商务技术评分表</w:t>
      </w:r>
      <w:r>
        <w:rPr>
          <w:rFonts w:hint="eastAsia" w:ascii="宋体" w:hAnsi="宋体"/>
          <w:color w:val="auto"/>
        </w:rPr>
        <w:t>》；（按四舍五入原则取值并保留小数点后两位有效数字。）</w:t>
      </w:r>
    </w:p>
    <w:p>
      <w:pPr>
        <w:tabs>
          <w:tab w:val="left" w:pos="720"/>
          <w:tab w:val="left" w:pos="4013"/>
        </w:tabs>
        <w:snapToGrid w:val="0"/>
        <w:spacing w:before="60" w:line="360" w:lineRule="auto"/>
        <w:rPr>
          <w:rFonts w:ascii="宋体"/>
          <w:color w:val="auto"/>
          <w:szCs w:val="21"/>
        </w:rPr>
      </w:pPr>
      <w:r>
        <w:rPr>
          <w:rFonts w:ascii="宋体" w:hAnsi="宋体"/>
          <w:color w:val="auto"/>
          <w:szCs w:val="21"/>
        </w:rPr>
        <w:t>4.3</w:t>
      </w:r>
      <w:r>
        <w:rPr>
          <w:rFonts w:hint="eastAsia" w:ascii="宋体" w:hAnsi="宋体"/>
          <w:color w:val="auto"/>
          <w:szCs w:val="21"/>
          <w:lang w:val="en-US" w:eastAsia="zh-CN"/>
        </w:rPr>
        <w:t xml:space="preserve">  </w:t>
      </w:r>
      <w:r>
        <w:rPr>
          <w:rFonts w:hint="eastAsia" w:ascii="宋体" w:hAnsi="宋体"/>
          <w:color w:val="auto"/>
          <w:szCs w:val="21"/>
        </w:rPr>
        <w:t>推荐成交报价人</w:t>
      </w:r>
    </w:p>
    <w:p>
      <w:pPr>
        <w:tabs>
          <w:tab w:val="left" w:pos="720"/>
          <w:tab w:val="left" w:pos="4013"/>
        </w:tabs>
        <w:snapToGrid w:val="0"/>
        <w:spacing w:before="60" w:line="360" w:lineRule="auto"/>
        <w:ind w:left="539" w:leftChars="250" w:hanging="14" w:hangingChars="7"/>
        <w:rPr>
          <w:rFonts w:ascii="宋体"/>
          <w:color w:val="auto"/>
          <w:szCs w:val="21"/>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1"/>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1"/>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hint="eastAsia" w:ascii="宋体" w:hAns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4.8  </w:t>
      </w:r>
      <w:r>
        <w:rPr>
          <w:rFonts w:hint="eastAsia" w:ascii="宋体" w:hAnsi="宋体" w:cs="Arial"/>
          <w:color w:val="auto"/>
          <w:szCs w:val="21"/>
          <w:lang w:eastAsia="zh-CN"/>
        </w:rPr>
        <w:t xml:space="preserve">无效投标行为的认定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1）  </w:t>
      </w:r>
      <w:r>
        <w:rPr>
          <w:rFonts w:hint="eastAsia" w:ascii="宋体" w:hAnsi="宋体" w:cs="Arial"/>
          <w:color w:val="auto"/>
          <w:szCs w:val="21"/>
          <w:lang w:eastAsia="zh-CN"/>
        </w:rPr>
        <w:t xml:space="preserve">未按照招标文件的规定交纳投标保证金的；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投标文件未按招标文件要求签署、盖章的；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3）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不具备招标文件中规定的投标人资格要求；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4）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投标报价不符合招标文件要求，报价超过招标文件中规定的最高限价的；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投标文件含有采购人不能接受的附加条件的；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投标主体不明确；不符合招标文件中合格投标人的相关规定；货物或服务不符合法定和约定的合格性标准要求；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投标人代表未能出示本人身份证明原件；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以假借、挂靠他人名义等形式参与投标，在独立投标人之间构成非法互惠利益和同 盟关系；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投标人串通投标，出现以下情形之一的：</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①不同投标人的投标文件由同一单位或者 个人编制；</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②不同投标人委托同一单位或者个人办理投标事宜；</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③不同投标人的投 标文件载明的项目管理成员或者联系人员为同一人；</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④不同投标人的投标文件异常 一致或者投标报价呈规律性差异；</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⑤不同投标人的投标文件相互混装；</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⑥不同投标 人的投标保证金从同一单位或者个人的账户转出；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单位负责人为同一人或者存在直接控股、管理关系的不同投标人，参加同一合同项目下的政府采购活动；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同一家投标人提交两套或以上投标文件；</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未能有效通过初审检查，对约定必备的合格条件和重要关键内容（即标注“★”号 的条款）出现实质性偏离；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13</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提供的证书、声明函、承诺函等证明材料经认定后存在虚假或与事实不符的情形； 提供虚假材料谋取中标的；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14</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投标有效期不响应招标文件要求；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投标报价明显低于其他通过符合性审查投标人的报价，未按评标委员会的合理要求 提供书面说明，不能证明其报价合理性的；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投标文件编制和装订严重不符合招标文件要求；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拒绝、对抗评标委员会所作的决定或合理要求；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投标方案、投标报价表述不清晰或无法确定；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出现了违反政府采购进口产品管理相关规定的情形；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为采购项目提供整体设计、规范编制或者项目管理、监理、检测等服务的供应商， 又参加本次采购活动的；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符合法律、法规和招标文件规定的其他无效投标情形。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 xml:space="preserve">4.5. 废标条件与处理 本项目出现下列条件之一则对应定作废标：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1</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提交投标文件的投标人、符合资格条件的投标人或对招标文件实质性条款做出响应 的投标人不足本项目招标家数要求。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w:t>
      </w:r>
      <w:r>
        <w:rPr>
          <w:rFonts w:hint="eastAsia" w:ascii="宋体" w:hAnsi="宋体" w:cs="Arial"/>
          <w:color w:val="auto"/>
          <w:szCs w:val="21"/>
          <w:lang w:eastAsia="zh-CN"/>
        </w:rPr>
        <w:t>. 投标人的报价均超过了采购预算控制范围且采购人不能接受。</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3</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招标文件存在重大缺漏导致无法继续评审，或继续评审可能影响公平竞争。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4</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采购过程出现影响公平公正竞争的违法、违规行为。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因重大变故，接财政部门通知采购活动须立即中止或取消。 </w:t>
      </w:r>
    </w:p>
    <w:p>
      <w:pPr>
        <w:widowControl w:val="0"/>
        <w:snapToGrid w:val="0"/>
        <w:spacing w:before="60" w:line="360" w:lineRule="auto"/>
        <w:jc w:val="both"/>
        <w:rPr>
          <w:rFonts w:hint="eastAsia" w:eastAsia="宋体"/>
          <w:lang w:eastAsia="zh-CN"/>
        </w:rPr>
      </w:pPr>
      <w:r>
        <w:rPr>
          <w:rFonts w:hint="eastAsia" w:ascii="宋体" w:hAnsi="宋体" w:cs="Arial"/>
          <w:color w:val="auto"/>
          <w:szCs w:val="21"/>
          <w:lang w:eastAsia="zh-CN"/>
        </w:rPr>
        <w:t>符合第 1-4 条其中之一废标条件时，将择日重新组织招标，同时将废标理由和处理决定知会各相关投标人。</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color w:val="auto"/>
        </w:rPr>
        <w:t>中国政府采购网（</w:t>
      </w:r>
      <w:r>
        <w:rPr>
          <w:color w:val="auto"/>
        </w:rPr>
        <w:t>http://www.ccgp.gov.cn</w:t>
      </w:r>
      <w:r>
        <w:rPr>
          <w:rFonts w:hint="eastAsia"/>
          <w:color w:val="auto"/>
        </w:rPr>
        <w:t>）</w:t>
      </w:r>
      <w:r>
        <w:rPr>
          <w:rFonts w:hint="eastAsia" w:ascii="宋体" w:hAnsi="宋体"/>
          <w:color w:val="auto"/>
        </w:rPr>
        <w:t>；</w:t>
      </w:r>
      <w:r>
        <w:rPr>
          <w:rFonts w:hint="eastAsia" w:ascii="宋体" w:hAnsi="宋体" w:cs="宋体"/>
          <w:color w:val="auto"/>
        </w:rPr>
        <w:t>②</w:t>
      </w:r>
      <w:r>
        <w:rPr>
          <w:rFonts w:ascii="宋体" w:hAnsi="宋体" w:cs="宋体"/>
          <w:color w:val="auto"/>
          <w:szCs w:val="21"/>
        </w:rPr>
        <w:t>广东省政府采购网（WWW.gdgpo.gov.cn）</w:t>
      </w:r>
      <w:r>
        <w:rPr>
          <w:rFonts w:hint="eastAsia" w:ascii="宋体" w:hAnsi="宋体"/>
          <w:color w:val="auto"/>
        </w:rPr>
        <w:t>；</w:t>
      </w:r>
      <w:r>
        <w:rPr>
          <w:rFonts w:hint="eastAsia" w:ascii="宋体" w:hAnsi="宋体" w:cs="宋体"/>
          <w:color w:val="auto"/>
        </w:rPr>
        <w:t>③</w:t>
      </w:r>
      <w:r>
        <w:rPr>
          <w:rFonts w:hint="eastAsia" w:ascii="宋体" w:hAnsi="宋体"/>
          <w:color w:val="auto"/>
        </w:rPr>
        <w:t>云浮市公共资源交易网（</w:t>
      </w:r>
      <w:r>
        <w:rPr>
          <w:rFonts w:ascii="宋体" w:hAnsi="宋体"/>
          <w:color w:val="auto"/>
        </w:rPr>
        <w:t>ggzy.yunfu.gov.cn</w:t>
      </w:r>
      <w:r>
        <w:rPr>
          <w:rFonts w:hint="eastAsia" w:ascii="宋体" w:hAnsi="宋体"/>
          <w:color w:val="auto"/>
        </w:rPr>
        <w:t>）</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报价人</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报价人</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质疑书必须由报价人法定代表人签署本人姓名并加盖单位公章，质疑书由参加本采购项目的全权代表签署本人姓名，须附有法定代表人的授权委托书（授权委托书须载明委托的具体权限和事项）。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报价人对评审结果进行质疑或投诉的，可根据有关法规的规定，向相关部门书面提出，但需对质疑或投诉内容的真实性承担责任。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采购人或采购代理机构应在收到报价人书面质疑后7个工作日内，对质疑内容作出答复。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陈先生</w:t>
      </w:r>
    </w:p>
    <w:p>
      <w:pPr>
        <w:keepNext w:val="0"/>
        <w:keepLines w:val="0"/>
        <w:widowControl/>
        <w:suppressLineNumbers w:val="0"/>
        <w:spacing w:line="480" w:lineRule="auto"/>
        <w:ind w:firstLine="211" w:firstLineChars="100"/>
        <w:jc w:val="left"/>
        <w:rPr>
          <w:rFonts w:hint="eastAsia" w:ascii="宋体" w:hAnsi="宋体"/>
          <w:b/>
          <w:bCs/>
          <w:color w:val="auto"/>
          <w:sz w:val="21"/>
          <w:lang w:val="en-US" w:eastAsia="zh-CN" w:bidi="ar-SA"/>
        </w:rPr>
      </w:pP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2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keepNext w:val="0"/>
              <w:keepLines w:val="0"/>
              <w:widowControl w:val="0"/>
              <w:suppressLineNumbers w:val="0"/>
              <w:spacing w:before="0" w:beforeAutospacing="0" w:after="0" w:afterAutospacing="0"/>
              <w:ind w:left="0" w:right="0"/>
              <w:jc w:val="center"/>
              <w:rPr>
                <w:rFonts w:hint="eastAsia"/>
                <w:color w:val="auto"/>
              </w:rPr>
            </w:pPr>
            <w:r>
              <w:rPr>
                <w:rFonts w:hint="eastAsia"/>
                <w:b/>
                <w:bCs/>
                <w:color w:val="auto"/>
                <w:sz w:val="32"/>
                <w:szCs w:val="32"/>
              </w:rPr>
              <w:t>质疑函范本</w:t>
            </w: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一、质疑</w:t>
            </w:r>
            <w:r>
              <w:rPr>
                <w:rFonts w:hint="eastAsia"/>
                <w:b/>
                <w:bCs/>
                <w:color w:val="auto"/>
                <w:lang w:eastAsia="zh-CN"/>
              </w:rPr>
              <w:t>报价人</w:t>
            </w:r>
            <w:r>
              <w:rPr>
                <w:rFonts w:hint="eastAsia"/>
                <w:b/>
                <w:bCs/>
                <w:color w:val="auto"/>
              </w:rPr>
              <w:t>基本信息</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w:t>
            </w:r>
            <w:r>
              <w:rPr>
                <w:rFonts w:hint="eastAsia"/>
                <w:color w:val="auto"/>
                <w:lang w:eastAsia="zh-CN"/>
              </w:rPr>
              <w:t>报价人</w:t>
            </w:r>
            <w:r>
              <w:rPr>
                <w:rFonts w:hint="eastAsia"/>
                <w:color w:val="auto"/>
              </w:rPr>
              <w:t>：</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授权代表：</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联系电话：</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二、质疑项目基本情况</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质疑项目的名称：</w:t>
            </w:r>
            <w:r>
              <w:rPr>
                <w:rFonts w:hint="eastAsia"/>
                <w:color w:val="auto"/>
                <w:lang w:val="en-US" w:eastAsia="zh-CN"/>
              </w:rPr>
              <w:t>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采购人名称：</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lang w:eastAsia="zh-CN"/>
              </w:rPr>
              <w:t>询价文件</w:t>
            </w:r>
            <w:r>
              <w:rPr>
                <w:rFonts w:hint="eastAsia"/>
                <w:color w:val="auto"/>
              </w:rPr>
              <w:t>获取日期：</w:t>
            </w:r>
            <w:r>
              <w:rPr>
                <w:rFonts w:hint="eastAsia"/>
                <w:color w:val="auto"/>
                <w:lang w:val="en-US" w:eastAsia="zh-CN"/>
              </w:rPr>
              <w:t>______________________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三、质疑事项具体内容</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 xml:space="preserve">质疑事项1                                        </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r>
              <w:rPr>
                <w:rFonts w:hint="eastAsia"/>
                <w:color w:val="auto"/>
              </w:rPr>
              <w:t>事实依据：</w:t>
            </w:r>
            <w:r>
              <w:rPr>
                <w:rFonts w:hint="eastAsia"/>
                <w:b w:val="0"/>
                <w:bCs w:val="0"/>
                <w:color w:val="auto"/>
                <w:lang w:val="en-US" w:eastAsia="zh-CN"/>
              </w:rPr>
              <w:t>____________________________________________________________________________</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r>
              <w:rPr>
                <w:rFonts w:hint="eastAsia"/>
                <w:color w:val="auto"/>
              </w:rPr>
              <w:t>法律依据：</w:t>
            </w:r>
            <w:r>
              <w:rPr>
                <w:rFonts w:hint="eastAsia"/>
                <w:color w:val="auto"/>
                <w:lang w:val="en-US" w:eastAsia="zh-CN"/>
              </w:rPr>
              <w:t>____________________________________________________________________________</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质疑事项2</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事实依据</w:t>
            </w:r>
            <w:r>
              <w:rPr>
                <w:rFonts w:hint="eastAsia"/>
                <w:color w:val="auto"/>
                <w:lang w:eastAsia="zh-CN"/>
              </w:rPr>
              <w:t>：</w:t>
            </w:r>
            <w:r>
              <w:rPr>
                <w:rFonts w:hint="eastAsia"/>
                <w:color w:val="auto"/>
                <w:lang w:val="en-US" w:eastAsia="zh-CN"/>
              </w:rPr>
              <w:t>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法律依据</w:t>
            </w:r>
            <w:r>
              <w:rPr>
                <w:rFonts w:hint="eastAsia"/>
                <w:color w:val="auto"/>
                <w:lang w:eastAsia="zh-CN"/>
              </w:rPr>
              <w:t>：</w:t>
            </w:r>
            <w:r>
              <w:rPr>
                <w:rFonts w:hint="eastAsia"/>
                <w:color w:val="auto"/>
                <w:lang w:val="en-US" w:eastAsia="zh-CN"/>
              </w:rPr>
              <w:t>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r>
              <w:rPr>
                <w:rFonts w:hint="eastAsia"/>
                <w:color w:val="auto"/>
                <w:lang w:val="en-US" w:eastAsia="zh-CN"/>
              </w:rPr>
              <w:t>______________________________________________________________________________________</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四、与质疑事项相关的质疑请求</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请求：</w:t>
            </w:r>
            <w:r>
              <w:rPr>
                <w:rFonts w:hint="eastAsia"/>
                <w:color w:val="auto"/>
                <w:lang w:val="en-US" w:eastAsia="zh-CN"/>
              </w:rPr>
              <w:t>________________________________________________________________________________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u w:val="none"/>
                <w:lang w:val="en-US" w:eastAsia="zh-CN"/>
              </w:rPr>
            </w:pPr>
            <w:r>
              <w:rPr>
                <w:rFonts w:hint="eastAsia"/>
                <w:color w:val="auto"/>
                <w:lang w:val="en-US" w:eastAsia="zh-CN"/>
              </w:rPr>
              <w:t>______________________________________________________________________________________</w:t>
            </w:r>
            <w:r>
              <w:rPr>
                <w:rFonts w:hint="eastAsia"/>
                <w:color w:val="auto"/>
                <w:u w:val="single"/>
                <w:lang w:val="en-US" w:eastAsia="zh-CN"/>
              </w:rPr>
              <w:t xml:space="preserve"> </w:t>
            </w:r>
            <w:r>
              <w:rPr>
                <w:rFonts w:hint="eastAsia"/>
                <w:color w:val="auto"/>
                <w:u w:val="none"/>
                <w:lang w:val="en-US" w:eastAsia="zh-CN"/>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color w:val="auto"/>
                <w:lang w:val="en-US" w:eastAsia="zh-CN"/>
              </w:rPr>
              <w:t>法定代表人</w:t>
            </w:r>
            <w:r>
              <w:rPr>
                <w:rFonts w:hint="eastAsia"/>
                <w:color w:val="auto"/>
                <w:lang w:eastAsia="zh-CN"/>
              </w:rPr>
              <w:t>签章</w:t>
            </w:r>
            <w:r>
              <w:rPr>
                <w:rFonts w:hint="eastAsia"/>
                <w:color w:val="auto"/>
              </w:rPr>
              <w:t>(签章)：</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lang w:eastAsia="zh-CN"/>
              </w:rPr>
              <w:t>签章</w:t>
            </w:r>
            <w:r>
              <w:rPr>
                <w:rFonts w:hint="eastAsia"/>
                <w:color w:val="auto"/>
              </w:rPr>
              <w:t>(签章)</w:t>
            </w:r>
            <w:r>
              <w:rPr>
                <w:rFonts w:hint="eastAsia"/>
                <w:color w:val="auto"/>
                <w:lang w:eastAsia="zh-CN"/>
              </w:rPr>
              <w:t>：</w:t>
            </w:r>
            <w:r>
              <w:rPr>
                <w:rFonts w:hint="eastAsia"/>
                <w:color w:val="auto"/>
                <w:lang w:val="en-US" w:eastAsia="zh-CN"/>
              </w:rPr>
              <w:t>_________________</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公章：</w:t>
            </w:r>
            <w:r>
              <w:rPr>
                <w:rFonts w:hint="eastAsia"/>
                <w:color w:val="auto"/>
                <w:lang w:val="en-US" w:eastAsia="zh-CN"/>
              </w:rPr>
              <w:t>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u w:val="single"/>
                <w:lang w:val="en-US" w:eastAsia="zh-CN"/>
              </w:rPr>
            </w:pPr>
            <w:r>
              <w:rPr>
                <w:rFonts w:hint="eastAsia"/>
                <w:color w:val="auto"/>
              </w:rPr>
              <w:t>日期</w:t>
            </w:r>
            <w:r>
              <w:rPr>
                <w:rFonts w:hint="eastAsia"/>
                <w:color w:val="auto"/>
                <w:lang w:eastAsia="zh-CN"/>
              </w:rPr>
              <w:t>：</w:t>
            </w:r>
            <w:r>
              <w:rPr>
                <w:rFonts w:hint="eastAsia"/>
                <w:color w:val="auto"/>
                <w:lang w:val="en-US" w:eastAsia="zh-CN"/>
              </w:rPr>
              <w:t>___________________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u w:val="single"/>
                <w:lang w:val="en-US" w:eastAsia="zh-CN"/>
              </w:rPr>
            </w:pPr>
          </w:p>
          <w:p>
            <w:pPr>
              <w:keepNext w:val="0"/>
              <w:keepLines w:val="0"/>
              <w:widowControl w:val="0"/>
              <w:suppressLineNumbers w:val="0"/>
              <w:spacing w:before="0" w:beforeAutospacing="0" w:after="0" w:afterAutospacing="0"/>
              <w:ind w:left="0" w:right="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bl>
          <w:p>
            <w:pPr>
              <w:keepNext w:val="0"/>
              <w:keepLines w:val="0"/>
              <w:widowControl w:val="0"/>
              <w:suppressLineNumbers w:val="0"/>
              <w:spacing w:before="0" w:beforeAutospacing="0" w:after="0" w:afterAutospacing="0"/>
              <w:ind w:left="0" w:right="0"/>
              <w:jc w:val="center"/>
              <w:rPr>
                <w:rFonts w:hint="eastAsia"/>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5"/>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rPr>
        <w:t>报价人对采购人或采购代理机构的答复不满意或他们未在规定时间内给予答复的，提出质疑的报价人可以在答复期满后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p>
    <w:p>
      <w:pPr>
        <w:spacing w:line="480" w:lineRule="exact"/>
        <w:ind w:right="200"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0"/>
          <w:tab w:val="left" w:pos="600"/>
          <w:tab w:val="left" w:pos="4700"/>
        </w:tabs>
        <w:autoSpaceDE w:val="0"/>
        <w:autoSpaceDN w:val="0"/>
        <w:snapToGrid w:val="0"/>
        <w:spacing w:before="60" w:line="360" w:lineRule="auto"/>
        <w:jc w:val="both"/>
        <w:textAlignment w:val="bottom"/>
        <w:rPr>
          <w:rFonts w:ascii="宋体"/>
          <w:color w:val="auto"/>
        </w:rPr>
      </w:pP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5"/>
        <w:snapToGrid w:val="0"/>
        <w:spacing w:before="60"/>
        <w:ind w:left="630" w:leftChars="200" w:hanging="210" w:hangingChars="100"/>
        <w:rPr>
          <w:rFonts w:hAnsi="宋体"/>
          <w:color w:val="auto"/>
        </w:rPr>
      </w:pPr>
      <w:r>
        <w:rPr>
          <w:rFonts w:hint="eastAsia" w:hAnsi="宋体"/>
          <w:color w:val="auto"/>
          <w:lang w:eastAsia="zh-CN"/>
        </w:rPr>
        <w:t>⑴</w:t>
      </w:r>
      <w:r>
        <w:rPr>
          <w:rFonts w:hint="eastAsia" w:hAnsi="宋体"/>
          <w:color w:val="auto"/>
        </w:rPr>
        <w:t>中标人在收取《</w:t>
      </w:r>
      <w:r>
        <w:rPr>
          <w:rFonts w:hint="eastAsia" w:hAnsi="宋体"/>
          <w:color w:val="auto"/>
          <w:lang w:eastAsia="zh-CN"/>
        </w:rPr>
        <w:t>成交</w:t>
      </w:r>
      <w:r>
        <w:rPr>
          <w:rFonts w:hint="eastAsia" w:hAnsi="宋体"/>
          <w:color w:val="auto"/>
        </w:rPr>
        <w:t>通知书》时应向采购代理机构交纳中标服务费，中标服务费的收费标准按国家计委颁布的（计价格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7"/>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keepNext w:val="0"/>
              <w:keepLines w:val="0"/>
              <w:widowControl/>
              <w:suppressLineNumbers w:val="0"/>
              <w:snapToGrid w:val="0"/>
              <w:spacing w:before="120" w:beforeAutospacing="0" w:after="0" w:afterAutospacing="0" w:line="360" w:lineRule="auto"/>
              <w:ind w:left="0" w:right="0" w:firstLine="2688" w:firstLineChars="1280"/>
              <w:rPr>
                <w:rFonts w:hint="default" w:ascii="宋体"/>
                <w:color w:val="auto"/>
              </w:rPr>
            </w:pPr>
            <w:r>
              <w:rPr>
                <w:rFonts w:hint="eastAsia" w:ascii="宋体" w:hAnsi="宋体"/>
                <w:color w:val="auto"/>
              </w:rPr>
              <w:t>费率</w:t>
            </w:r>
          </w:p>
          <w:p>
            <w:pPr>
              <w:keepNext w:val="0"/>
              <w:keepLines w:val="0"/>
              <w:widowControl/>
              <w:suppressLineNumbers w:val="0"/>
              <w:snapToGrid w:val="0"/>
              <w:spacing w:before="120" w:beforeAutospacing="0" w:after="0" w:afterAutospacing="0" w:line="360" w:lineRule="auto"/>
              <w:ind w:left="0" w:right="0"/>
              <w:rPr>
                <w:rFonts w:hint="default"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lang w:eastAsia="zh-CN"/>
              </w:rPr>
              <w:t>服务</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100</w:t>
            </w:r>
            <w:r>
              <w:rPr>
                <w:rFonts w:hint="eastAsia" w:ascii="宋体" w:hAnsi="宋体"/>
                <w:color w:val="auto"/>
              </w:rPr>
              <w:t>以下</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100</w:t>
            </w:r>
            <w:r>
              <w:rPr>
                <w:rFonts w:hint="eastAsia" w:ascii="宋体" w:hAnsi="宋体"/>
                <w:color w:val="auto"/>
              </w:rPr>
              <w:t>－</w:t>
            </w:r>
            <w:r>
              <w:rPr>
                <w:rFonts w:hint="default" w:ascii="宋体" w:hAnsi="宋体"/>
                <w:color w:val="auto"/>
              </w:rPr>
              <w:t>500</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lang w:val="en-US" w:eastAsia="zh-CN"/>
              </w:rPr>
              <w:t>0.8</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500-1000</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rPr>
              <w:t>0.</w:t>
            </w:r>
            <w:r>
              <w:rPr>
                <w:rFonts w:hint="eastAsia" w:ascii="宋体" w:hAnsi="宋体"/>
                <w:color w:val="auto"/>
                <w:lang w:val="en-US" w:eastAsia="zh-CN"/>
              </w:rPr>
              <w:t>45</w:t>
            </w:r>
            <w:r>
              <w:rPr>
                <w:rFonts w:hint="eastAsia" w:ascii="宋体" w:hAnsi="宋体"/>
                <w:color w:val="auto"/>
              </w:rPr>
              <w:t>%</w:t>
            </w:r>
          </w:p>
        </w:tc>
      </w:tr>
    </w:tbl>
    <w:p>
      <w:pPr>
        <w:pStyle w:val="5"/>
        <w:ind w:firstLine="420" w:firstLineChars="200"/>
        <w:rPr>
          <w:rFonts w:hint="eastAsia" w:ascii="宋体" w:hAnsi="宋体"/>
          <w:color w:val="auto"/>
        </w:rPr>
      </w:pPr>
    </w:p>
    <w:p>
      <w:pPr>
        <w:pStyle w:val="5"/>
        <w:ind w:firstLine="420" w:firstLineChars="200"/>
        <w:rPr>
          <w:rFonts w:hint="eastAsia" w:ascii="宋体" w:hAnsi="宋体"/>
          <w:color w:val="auto"/>
        </w:rPr>
      </w:pPr>
      <w:r>
        <w:rPr>
          <w:rFonts w:hint="eastAsia" w:ascii="宋体" w:hAnsi="宋体"/>
          <w:color w:val="auto"/>
        </w:rPr>
        <w:t xml:space="preserve">例如：某项目招标成交（中标）金额为 1000 万元，计算招标代理服务费收费额如下： </w:t>
      </w:r>
    </w:p>
    <w:p>
      <w:pPr>
        <w:pStyle w:val="5"/>
        <w:ind w:firstLine="1470" w:firstLineChars="700"/>
        <w:rPr>
          <w:rFonts w:hint="eastAsia" w:ascii="宋体" w:hAnsi="宋体"/>
          <w:color w:val="auto"/>
        </w:rPr>
      </w:pPr>
      <w:r>
        <w:rPr>
          <w:rFonts w:hint="eastAsia" w:ascii="宋体" w:hAnsi="宋体"/>
          <w:color w:val="auto"/>
        </w:rPr>
        <w:t xml:space="preserve">100 万元×1.5％＝1.5 万元 </w:t>
      </w:r>
    </w:p>
    <w:p>
      <w:pPr>
        <w:pStyle w:val="5"/>
        <w:ind w:firstLine="1470" w:firstLineChars="700"/>
        <w:rPr>
          <w:rFonts w:hint="eastAsia" w:ascii="宋体" w:hAnsi="宋体"/>
          <w:color w:val="auto"/>
        </w:rPr>
      </w:pPr>
      <w:r>
        <w:rPr>
          <w:rFonts w:hint="eastAsia" w:ascii="宋体" w:hAnsi="宋体"/>
          <w:color w:val="auto"/>
        </w:rPr>
        <w:t xml:space="preserve">（500－100）万元×0.8％＝3.2 万元 </w:t>
      </w:r>
    </w:p>
    <w:p>
      <w:pPr>
        <w:pStyle w:val="5"/>
        <w:ind w:firstLine="1470" w:firstLineChars="700"/>
        <w:rPr>
          <w:rFonts w:hint="eastAsia" w:ascii="宋体" w:hAnsi="宋体"/>
          <w:color w:val="auto"/>
        </w:rPr>
      </w:pPr>
      <w:r>
        <w:rPr>
          <w:rFonts w:hint="eastAsia" w:ascii="宋体" w:hAnsi="宋体"/>
          <w:color w:val="auto"/>
        </w:rPr>
        <w:t xml:space="preserve">(1000-500)万元×0.45%＝2.25 万元 </w:t>
      </w:r>
    </w:p>
    <w:p>
      <w:pPr>
        <w:pStyle w:val="5"/>
        <w:ind w:firstLine="1470" w:firstLineChars="700"/>
        <w:rPr>
          <w:rFonts w:hint="eastAsia" w:ascii="宋体" w:hAnsi="宋体"/>
          <w:color w:val="auto"/>
        </w:rPr>
      </w:pPr>
      <w:r>
        <w:rPr>
          <w:rFonts w:hint="eastAsia" w:ascii="宋体" w:hAnsi="宋体"/>
          <w:color w:val="auto"/>
        </w:rPr>
        <w:t xml:space="preserve">合计收费＝1.5＋3.2＋2.25＝6.95 万元 </w:t>
      </w:r>
    </w:p>
    <w:p>
      <w:pPr>
        <w:pStyle w:val="5"/>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5"/>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5"/>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5"/>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hint="eastAsia" w:ascii="宋体" w:hAnsi="宋体" w:cs="宋体"/>
          <w:color w:val="auto"/>
        </w:rPr>
      </w:pPr>
      <w:r>
        <w:rPr>
          <w:rFonts w:ascii="宋体" w:hAnsi="宋体" w:cs="宋体"/>
          <w:color w:val="auto"/>
        </w:rPr>
        <w:t>4</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bCs w:val="0"/>
          <w:color w:val="auto"/>
          <w:kern w:val="2"/>
          <w:sz w:val="32"/>
          <w:szCs w:val="32"/>
        </w:rPr>
      </w:pPr>
      <w:r>
        <w:rPr>
          <w:rFonts w:ascii="宋体" w:hAnsi="宋体" w:cs="宋体"/>
          <w:b w:val="0"/>
          <w:bCs w:val="0"/>
          <w:color w:val="auto"/>
          <w:sz w:val="21"/>
          <w:szCs w:val="21"/>
        </w:rPr>
        <w:t xml:space="preserve"> 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5"/>
        <w:snapToGrid w:val="0"/>
        <w:spacing w:before="60"/>
        <w:ind w:left="630" w:hanging="630" w:hangingChars="300"/>
        <w:rPr>
          <w:rFonts w:hint="eastAsia"/>
          <w:color w:val="auto"/>
        </w:r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rPr>
      </w:pPr>
    </w:p>
    <w:p>
      <w:pPr>
        <w:bidi w:val="0"/>
        <w:jc w:val="center"/>
        <w:rPr>
          <w:rFonts w:eastAsia="宋体"/>
          <w:b/>
          <w:bCs/>
          <w:sz w:val="36"/>
          <w:szCs w:val="32"/>
        </w:rPr>
      </w:pPr>
      <w:r>
        <w:rPr>
          <w:rFonts w:hint="eastAsia" w:eastAsia="宋体"/>
          <w:b/>
          <w:bCs/>
          <w:sz w:val="36"/>
          <w:szCs w:val="32"/>
          <w:lang w:val="en-US" w:eastAsia="zh-CN"/>
        </w:rPr>
        <w:t>评 分 体 系 与 标 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eastAsia="宋体"/>
          <w:sz w:val="21"/>
          <w:szCs w:val="21"/>
        </w:rPr>
      </w:pPr>
      <w:r>
        <w:rPr>
          <w:rFonts w:hint="eastAsia" w:ascii="宋体" w:hAnsi="宋体" w:eastAsia="宋体" w:cs="宋体"/>
          <w:color w:val="000000"/>
          <w:kern w:val="0"/>
          <w:sz w:val="21"/>
          <w:szCs w:val="21"/>
          <w:lang w:val="en-US" w:eastAsia="zh-CN" w:bidi="ar"/>
        </w:rPr>
        <w:t xml:space="preserve">1.本评标办法采用综合评分法。 </w:t>
      </w:r>
    </w:p>
    <w:p>
      <w:pPr>
        <w:keepNext w:val="0"/>
        <w:keepLines w:val="0"/>
        <w:widowControl/>
        <w:suppressLineNumbers w:val="0"/>
        <w:spacing w:line="360" w:lineRule="auto"/>
        <w:jc w:val="left"/>
        <w:rPr>
          <w:rFonts w:eastAsia="宋体"/>
          <w:sz w:val="21"/>
          <w:szCs w:val="21"/>
        </w:rPr>
      </w:pPr>
      <w:r>
        <w:rPr>
          <w:rFonts w:hint="eastAsia" w:ascii="宋体" w:hAnsi="宋体" w:eastAsia="宋体" w:cs="宋体"/>
          <w:color w:val="000000"/>
          <w:kern w:val="0"/>
          <w:sz w:val="21"/>
          <w:szCs w:val="21"/>
          <w:lang w:val="en-US" w:eastAsia="zh-CN" w:bidi="ar"/>
        </w:rPr>
        <w:t xml:space="preserve">2.通过资格性和符合性审查的有效供应商方有资格提交最后报价及进行技术、商务及价格的详细评审，最后评标委员会出具评标报告。 </w:t>
      </w:r>
    </w:p>
    <w:p>
      <w:pPr>
        <w:keepNext w:val="0"/>
        <w:keepLines w:val="0"/>
        <w:widowControl/>
        <w:suppressLineNumbers w:val="0"/>
        <w:spacing w:line="360" w:lineRule="auto"/>
        <w:jc w:val="left"/>
        <w:rPr>
          <w:rFonts w:eastAsia="宋体"/>
        </w:rPr>
      </w:pPr>
      <w:r>
        <w:rPr>
          <w:rFonts w:hint="eastAsia" w:ascii="宋体" w:hAnsi="宋体" w:eastAsia="宋体" w:cs="宋体"/>
          <w:color w:val="000000"/>
          <w:kern w:val="0"/>
          <w:sz w:val="21"/>
          <w:szCs w:val="21"/>
          <w:lang w:val="en-US" w:eastAsia="zh-CN" w:bidi="ar"/>
        </w:rPr>
        <w:t>3.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r>
        <w:rPr>
          <w:rFonts w:hint="eastAsia" w:ascii="宋体" w:hAnsi="宋体" w:eastAsia="宋体" w:cs="宋体"/>
          <w:color w:val="000000"/>
          <w:kern w:val="0"/>
          <w:sz w:val="24"/>
          <w:szCs w:val="24"/>
          <w:lang w:val="en-US" w:eastAsia="zh-CN" w:bidi="ar"/>
        </w:rPr>
        <w:t xml:space="preserve"> </w:t>
      </w:r>
    </w:p>
    <w:p>
      <w:pPr>
        <w:jc w:val="center"/>
        <w:rPr>
          <w:rFonts w:hint="eastAsia" w:ascii="宋体" w:hAnsi="宋体" w:eastAsia="宋体" w:cs="宋体"/>
          <w:b/>
          <w:color w:val="000000"/>
          <w:spacing w:val="1"/>
          <w:sz w:val="30"/>
        </w:rPr>
      </w:pPr>
    </w:p>
    <w:p>
      <w:pPr>
        <w:jc w:val="center"/>
        <w:rPr>
          <w:rFonts w:ascii="宋体" w:eastAsia="宋体" w:cs="宋体"/>
          <w:b/>
          <w:color w:val="000000"/>
          <w:spacing w:val="1"/>
          <w:sz w:val="30"/>
        </w:rPr>
      </w:pPr>
      <w:r>
        <w:rPr>
          <w:rFonts w:hint="eastAsia" w:ascii="宋体" w:hAnsi="宋体" w:eastAsia="宋体" w:cs="宋体"/>
          <w:b/>
          <w:color w:val="000000"/>
          <w:spacing w:val="1"/>
          <w:sz w:val="30"/>
          <w:lang w:eastAsia="zh-CN"/>
        </w:rPr>
        <w:t>资格性、符合性</w:t>
      </w:r>
      <w:r>
        <w:rPr>
          <w:rFonts w:hint="eastAsia" w:ascii="宋体" w:hAnsi="宋体" w:eastAsia="宋体" w:cs="宋体"/>
          <w:b/>
          <w:color w:val="000000"/>
          <w:spacing w:val="1"/>
          <w:sz w:val="30"/>
        </w:rPr>
        <w:t>评审表</w:t>
      </w:r>
    </w:p>
    <w:p>
      <w:pPr>
        <w:autoSpaceDE w:val="0"/>
        <w:autoSpaceDN w:val="0"/>
        <w:adjustRightInd w:val="0"/>
        <w:spacing w:line="240" w:lineRule="exact"/>
        <w:jc w:val="right"/>
        <w:rPr>
          <w:rFonts w:ascii="宋体" w:eastAsia="宋体" w:cs="宋体"/>
          <w:color w:val="000000"/>
          <w:spacing w:val="1"/>
          <w:sz w:val="24"/>
        </w:rPr>
      </w:pP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23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1" w:type="dxa"/>
            <w:noWrap w:val="0"/>
            <w:vAlign w:val="center"/>
          </w:tcPr>
          <w:p>
            <w:pPr>
              <w:keepNext w:val="0"/>
              <w:keepLines w:val="0"/>
              <w:widowControl/>
              <w:suppressLineNumbers w:val="0"/>
              <w:spacing w:before="0" w:beforeAutospacing="0" w:after="0" w:afterAutospacing="0"/>
              <w:ind w:left="0" w:right="0"/>
              <w:jc w:val="center"/>
              <w:rPr>
                <w:rFonts w:hint="default" w:ascii="宋体" w:eastAsia="宋体" w:cs="宋体"/>
                <w:b/>
                <w:sz w:val="24"/>
              </w:rPr>
            </w:pPr>
            <w:r>
              <w:rPr>
                <w:rFonts w:hint="eastAsia" w:ascii="宋体" w:hAnsi="宋体" w:eastAsia="宋体" w:cs="宋体"/>
                <w:b/>
                <w:sz w:val="24"/>
              </w:rPr>
              <w:t>序号</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rPr>
            </w:pP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rPr>
            </w:pPr>
            <w:r>
              <w:rPr>
                <w:rFonts w:hint="eastAsia" w:ascii="宋体" w:hAnsi="宋体" w:eastAsia="宋体" w:cs="宋体"/>
                <w:b/>
                <w:color w:val="000000"/>
                <w:spacing w:val="1"/>
                <w:sz w:val="24"/>
              </w:rPr>
              <w:t>评审内容</w:t>
            </w: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rPr>
            </w:pP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lang w:val="en-US" w:eastAsia="zh-CN"/>
              </w:rPr>
            </w:pPr>
            <w:r>
              <w:rPr>
                <w:rFonts w:hint="eastAsia" w:ascii="宋体" w:eastAsia="宋体" w:cs="宋体"/>
                <w:b/>
                <w:color w:val="000000"/>
                <w:spacing w:val="1"/>
                <w:sz w:val="24"/>
                <w:lang w:eastAsia="zh-CN"/>
              </w:rPr>
              <w:t>报价人</w:t>
            </w:r>
            <w:r>
              <w:rPr>
                <w:rFonts w:hint="eastAsia" w:ascii="宋体" w:eastAsia="宋体" w:cs="宋体"/>
                <w:b/>
                <w:color w:val="000000"/>
                <w:spacing w:val="1"/>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1</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eastAsia="宋体" w:cs="宋体"/>
                <w:color w:val="000000"/>
                <w:spacing w:val="1"/>
                <w:szCs w:val="21"/>
              </w:rPr>
            </w:pPr>
            <w:r>
              <w:rPr>
                <w:rFonts w:hint="eastAsia" w:ascii="宋体" w:hAnsi="宋体" w:eastAsia="宋体" w:cs="宋体"/>
                <w:color w:val="000000"/>
                <w:spacing w:val="1"/>
                <w:szCs w:val="21"/>
              </w:rPr>
              <w:t>具备招标文件中规定资格要求的及资格证明文件齐全；</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2</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投标函已提交并符合招标文件要求的；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3</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响应供应商按招标文件要求缴纳投标保证金的；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4</w:t>
            </w:r>
          </w:p>
        </w:tc>
        <w:tc>
          <w:tcPr>
            <w:tcW w:w="7231"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pacing w:val="1"/>
                <w:szCs w:val="21"/>
              </w:rPr>
            </w:pPr>
            <w:r>
              <w:rPr>
                <w:rFonts w:hint="eastAsia" w:ascii="宋体" w:hAnsi="宋体" w:eastAsia="宋体" w:cs="宋体"/>
                <w:kern w:val="0"/>
                <w:sz w:val="21"/>
                <w:szCs w:val="21"/>
                <w:lang w:val="en-US" w:eastAsia="zh-CN" w:bidi="ar"/>
              </w:rPr>
              <w:t>按照招标文件规定要求签署、盖章且响应文件有法定代表人签字，或签字人有法定代表人有效授权书的；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5</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首次报价未超过本项目的最高限价的；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6</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响应文件完全满足招标文件中标注★号条款无不响应或负偏离的；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7</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响应文件没有招标文件中规定的其它无效投标条款的；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hAnsi="宋体" w:eastAsia="宋体" w:cs="宋体"/>
                <w:color w:val="000000"/>
                <w:spacing w:val="1"/>
                <w:sz w:val="24"/>
                <w:lang w:val="en-US" w:eastAsia="zh-CN"/>
              </w:rPr>
            </w:pPr>
            <w:r>
              <w:rPr>
                <w:rFonts w:hint="eastAsia" w:ascii="宋体" w:hAnsi="宋体" w:eastAsia="宋体" w:cs="宋体"/>
                <w:color w:val="000000"/>
                <w:spacing w:val="1"/>
                <w:sz w:val="24"/>
                <w:lang w:val="en-US" w:eastAsia="zh-CN"/>
              </w:rPr>
              <w:t>8</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按有关法律、法规、规章不属于投标无效的。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32" w:type="dxa"/>
            <w:gridSpan w:val="2"/>
            <w:noWrap w:val="0"/>
            <w:vAlign w:val="top"/>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 w:val="24"/>
              </w:rPr>
            </w:pPr>
            <w:r>
              <w:rPr>
                <w:rFonts w:hint="eastAsia" w:ascii="宋体" w:hAnsi="宋体" w:eastAsia="宋体" w:cs="宋体"/>
                <w:color w:val="000000"/>
                <w:spacing w:val="1"/>
                <w:sz w:val="24"/>
              </w:rPr>
              <w:t>结</w:t>
            </w:r>
            <w:r>
              <w:rPr>
                <w:rFonts w:hint="default" w:ascii="宋体" w:hAnsi="宋体" w:eastAsia="宋体" w:cs="宋体"/>
                <w:color w:val="000000"/>
                <w:spacing w:val="1"/>
                <w:sz w:val="24"/>
              </w:rPr>
              <w:t xml:space="preserve">   </w:t>
            </w:r>
            <w:r>
              <w:rPr>
                <w:rFonts w:hint="eastAsia" w:ascii="宋体" w:hAnsi="宋体" w:eastAsia="宋体" w:cs="宋体"/>
                <w:color w:val="000000"/>
                <w:spacing w:val="1"/>
                <w:sz w:val="24"/>
              </w:rPr>
              <w:t>论</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bl>
    <w:p>
      <w:pPr>
        <w:autoSpaceDE w:val="0"/>
        <w:autoSpaceDN w:val="0"/>
        <w:adjustRightInd w:val="0"/>
        <w:spacing w:line="240" w:lineRule="exact"/>
        <w:jc w:val="left"/>
        <w:rPr>
          <w:rFonts w:ascii="宋体" w:eastAsia="宋体" w:cs="宋体"/>
          <w:color w:val="000000"/>
          <w:spacing w:val="1"/>
          <w:szCs w:val="21"/>
        </w:rPr>
      </w:pPr>
    </w:p>
    <w:p>
      <w:pPr>
        <w:autoSpaceDE w:val="0"/>
        <w:autoSpaceDN w:val="0"/>
        <w:adjustRightInd w:val="0"/>
        <w:spacing w:line="240" w:lineRule="exact"/>
        <w:jc w:val="left"/>
        <w:rPr>
          <w:rFonts w:hint="eastAsia" w:ascii="宋体" w:hAnsi="宋体" w:eastAsia="宋体" w:cs="宋体"/>
          <w:b/>
          <w:color w:val="auto"/>
          <w:spacing w:val="1"/>
          <w:szCs w:val="21"/>
        </w:rPr>
      </w:pPr>
    </w:p>
    <w:p>
      <w:pPr>
        <w:autoSpaceDE w:val="0"/>
        <w:autoSpaceDN w:val="0"/>
        <w:adjustRightInd w:val="0"/>
        <w:spacing w:line="240" w:lineRule="exact"/>
        <w:jc w:val="left"/>
        <w:rPr>
          <w:rFonts w:ascii="宋体" w:hAnsi="宋体" w:eastAsia="宋体" w:cs="宋体"/>
          <w:b/>
          <w:color w:val="auto"/>
          <w:spacing w:val="1"/>
          <w:szCs w:val="21"/>
        </w:rPr>
      </w:pPr>
      <w:r>
        <w:rPr>
          <w:rFonts w:hint="eastAsia" w:ascii="宋体" w:hAnsi="宋体" w:eastAsia="宋体" w:cs="宋体"/>
          <w:b/>
          <w:color w:val="auto"/>
          <w:spacing w:val="1"/>
          <w:szCs w:val="21"/>
        </w:rPr>
        <w:t>1、表中只需填写“○/通过”或“×/不通过”；</w:t>
      </w:r>
    </w:p>
    <w:p>
      <w:pPr>
        <w:autoSpaceDE w:val="0"/>
        <w:autoSpaceDN w:val="0"/>
        <w:adjustRightInd w:val="0"/>
        <w:spacing w:line="240" w:lineRule="exact"/>
        <w:jc w:val="left"/>
        <w:rPr>
          <w:rFonts w:ascii="宋体" w:hAnsi="宋体" w:eastAsia="宋体" w:cs="宋体"/>
          <w:b/>
          <w:color w:val="auto"/>
          <w:spacing w:val="1"/>
          <w:szCs w:val="21"/>
        </w:rPr>
      </w:pPr>
    </w:p>
    <w:p>
      <w:pPr>
        <w:autoSpaceDE w:val="0"/>
        <w:autoSpaceDN w:val="0"/>
        <w:adjustRightInd w:val="0"/>
        <w:spacing w:line="240" w:lineRule="exact"/>
        <w:jc w:val="left"/>
        <w:rPr>
          <w:rFonts w:ascii="宋体" w:hAnsi="宋体" w:eastAsia="宋体" w:cs="宋体"/>
          <w:b/>
          <w:color w:val="auto"/>
          <w:spacing w:val="1"/>
          <w:szCs w:val="21"/>
        </w:rPr>
      </w:pPr>
      <w:r>
        <w:rPr>
          <w:rFonts w:hint="eastAsia" w:ascii="宋体" w:hAnsi="宋体" w:eastAsia="宋体" w:cs="宋体"/>
          <w:b/>
          <w:color w:val="auto"/>
          <w:spacing w:val="1"/>
          <w:szCs w:val="21"/>
        </w:rPr>
        <w:t>2、在结论栏中按“一票否决”填写“通过”或“不通过”。</w:t>
      </w:r>
    </w:p>
    <w:p>
      <w:pPr>
        <w:autoSpaceDE w:val="0"/>
        <w:autoSpaceDN w:val="0"/>
        <w:adjustRightInd w:val="0"/>
        <w:spacing w:line="240" w:lineRule="exact"/>
        <w:jc w:val="left"/>
        <w:rPr>
          <w:rFonts w:ascii="宋体" w:eastAsia="宋体" w:cs="宋体"/>
          <w:b/>
          <w:color w:val="000000"/>
          <w:spacing w:val="1"/>
          <w:szCs w:val="21"/>
        </w:rPr>
      </w:pPr>
    </w:p>
    <w:p>
      <w:pPr>
        <w:adjustRightInd w:val="0"/>
        <w:snapToGrid w:val="0"/>
        <w:spacing w:line="360" w:lineRule="auto"/>
        <w:jc w:val="center"/>
        <w:rPr>
          <w:rFonts w:hint="eastAsia" w:ascii="黑体" w:eastAsia="黑体"/>
          <w:b/>
          <w:color w:val="auto"/>
          <w:sz w:val="44"/>
        </w:rPr>
      </w:pPr>
    </w:p>
    <w:p>
      <w:pPr>
        <w:sectPr>
          <w:headerReference r:id="rId10" w:type="default"/>
          <w:footerReference r:id="rId11" w:type="default"/>
          <w:pgSz w:w="11907" w:h="16840"/>
          <w:pgMar w:top="1440" w:right="1418" w:bottom="1440" w:left="1418" w:header="851" w:footer="851" w:gutter="0"/>
          <w:pgNumType w:fmt="decimal"/>
          <w:cols w:space="720" w:num="1"/>
          <w:docGrid w:linePitch="285" w:charSpace="0"/>
        </w:sectPr>
      </w:pPr>
    </w:p>
    <w:p>
      <w:pPr>
        <w:spacing w:line="360" w:lineRule="auto"/>
        <w:jc w:val="center"/>
        <w:rPr>
          <w:rFonts w:hint="eastAsia" w:ascii="宋体" w:hAnsi="宋体"/>
          <w:b/>
          <w:color w:val="auto"/>
          <w:sz w:val="24"/>
          <w:szCs w:val="24"/>
          <w:lang w:eastAsia="zh-CN"/>
        </w:rPr>
      </w:pPr>
      <w:r>
        <w:rPr>
          <w:rFonts w:hint="eastAsia" w:ascii="宋体" w:hAnsi="宋体"/>
          <w:b/>
          <w:color w:val="auto"/>
          <w:sz w:val="24"/>
          <w:szCs w:val="24"/>
          <w:lang w:eastAsia="zh-CN"/>
        </w:rPr>
        <w:t>广东罗定金银湖国家湿地公园科研监测设备采购及在线监测系统集成服务项目</w:t>
      </w:r>
    </w:p>
    <w:p>
      <w:pPr>
        <w:spacing w:line="360" w:lineRule="auto"/>
        <w:jc w:val="center"/>
        <w:rPr>
          <w:rFonts w:ascii="宋体"/>
          <w:b/>
          <w:color w:val="auto"/>
          <w:sz w:val="24"/>
          <w:szCs w:val="24"/>
        </w:rPr>
      </w:pPr>
      <w:r>
        <w:rPr>
          <w:rFonts w:hint="eastAsia" w:ascii="宋体" w:hAnsi="宋体"/>
          <w:b/>
          <w:color w:val="auto"/>
          <w:sz w:val="24"/>
          <w:szCs w:val="24"/>
        </w:rPr>
        <w:t>（</w:t>
      </w:r>
      <w:r>
        <w:rPr>
          <w:rFonts w:hint="eastAsia" w:ascii="宋体" w:hAnsi="宋体"/>
          <w:b/>
          <w:color w:val="auto"/>
          <w:sz w:val="24"/>
          <w:szCs w:val="24"/>
          <w:lang w:eastAsia="zh-CN"/>
        </w:rPr>
        <w:t xml:space="preserve">采购编号：445381-202005-81327002-0002  </w:t>
      </w:r>
      <w:r>
        <w:rPr>
          <w:rFonts w:hint="eastAsia" w:ascii="宋体" w:hAnsi="宋体"/>
          <w:b/>
          <w:color w:val="auto"/>
          <w:sz w:val="24"/>
          <w:szCs w:val="24"/>
        </w:rPr>
        <w:t>）</w:t>
      </w:r>
      <w:r>
        <w:rPr>
          <w:rFonts w:hint="eastAsia"/>
          <w:b/>
          <w:color w:val="auto"/>
          <w:sz w:val="24"/>
          <w:szCs w:val="24"/>
        </w:rPr>
        <w:t>商务评分表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签章</w:t>
      </w:r>
      <w:r>
        <w:rPr>
          <w:rFonts w:hint="eastAsia"/>
          <w:b/>
          <w:color w:val="auto"/>
          <w:szCs w:val="21"/>
        </w:rPr>
        <w:t>：</w:t>
      </w:r>
      <w:r>
        <w:rPr>
          <w:b/>
          <w:color w:val="auto"/>
          <w:szCs w:val="21"/>
        </w:rPr>
        <w:t>____________</w:t>
      </w:r>
    </w:p>
    <w:tbl>
      <w:tblPr>
        <w:tblStyle w:val="27"/>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228" w:type="dxa"/>
            <w:gridSpan w:val="2"/>
            <w:tcBorders>
              <w:tl2br w:val="single" w:color="auto" w:sz="4" w:space="0"/>
            </w:tcBorders>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                                                                                       投标单位</w:t>
            </w:r>
          </w:p>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评审内容</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分值</w:t>
            </w:r>
          </w:p>
        </w:tc>
        <w:tc>
          <w:tcPr>
            <w:tcW w:w="95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c>
          <w:tcPr>
            <w:tcW w:w="1040"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lang w:eastAsia="zh-CN"/>
              </w:rPr>
              <w:t>报价人名称</w:t>
            </w:r>
          </w:p>
        </w:tc>
        <w:tc>
          <w:tcPr>
            <w:tcW w:w="102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97" w:type="dxa"/>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szCs w:val="21"/>
              </w:rPr>
              <w:t>项目经理资历</w:t>
            </w:r>
          </w:p>
        </w:tc>
        <w:tc>
          <w:tcPr>
            <w:tcW w:w="8931" w:type="dxa"/>
            <w:vAlign w:val="center"/>
          </w:tcPr>
          <w:p>
            <w:pPr>
              <w:keepNext w:val="0"/>
              <w:keepLines w:val="0"/>
              <w:widowControl/>
              <w:suppressLineNumbers w:val="0"/>
              <w:snapToGrid w:val="0"/>
              <w:spacing w:before="0" w:beforeAutospacing="0" w:after="0" w:afterAutospacing="0" w:line="276" w:lineRule="auto"/>
              <w:ind w:left="0" w:right="0"/>
              <w:rPr>
                <w:rFonts w:hint="eastAsia" w:ascii="宋体" w:hAnsi="宋体" w:cs="宋体"/>
                <w:szCs w:val="21"/>
                <w:highlight w:val="none"/>
              </w:rPr>
            </w:pPr>
            <w:r>
              <w:rPr>
                <w:rFonts w:hint="eastAsia" w:ascii="宋体" w:hAnsi="宋体" w:cs="宋体"/>
                <w:szCs w:val="21"/>
                <w:highlight w:val="none"/>
              </w:rPr>
              <w:t>1.拟派的项目经理具有项目管理专业资格认证的得5分。（提供有关证书复印件和投标截止之日前3个月（2020年1月-3月）的社保证明复印件，不提供不得分）。</w:t>
            </w:r>
          </w:p>
          <w:p>
            <w:pPr>
              <w:keepNext w:val="0"/>
              <w:keepLines w:val="0"/>
              <w:widowControl/>
              <w:suppressLineNumbers w:val="0"/>
              <w:snapToGrid w:val="0"/>
              <w:spacing w:before="0" w:beforeAutospacing="0" w:after="0" w:afterAutospacing="0" w:line="276" w:lineRule="auto"/>
              <w:ind w:left="0" w:right="0"/>
              <w:rPr>
                <w:rFonts w:hint="eastAsia" w:ascii="宋体" w:hAnsi="宋体" w:eastAsia="宋体" w:cs="宋体"/>
                <w:color w:val="000000" w:themeColor="text1"/>
                <w:sz w:val="21"/>
                <w:szCs w:val="21"/>
                <w:lang w:eastAsia="zh-CN"/>
              </w:rPr>
            </w:pPr>
            <w:r>
              <w:rPr>
                <w:rFonts w:hint="eastAsia" w:ascii="宋体" w:hAnsi="宋体" w:cs="宋体"/>
                <w:szCs w:val="21"/>
                <w:highlight w:val="none"/>
              </w:rPr>
              <w:t>2.项目经理具有电子信息、人工智能、动物科学技术、信息系统等行业学会奖项的，一等奖得5分，二等奖得3分。</w:t>
            </w:r>
          </w:p>
        </w:tc>
        <w:tc>
          <w:tcPr>
            <w:tcW w:w="774" w:type="dxa"/>
            <w:vAlign w:val="center"/>
          </w:tcPr>
          <w:p>
            <w:pPr>
              <w:keepNext w:val="0"/>
              <w:keepLines w:val="0"/>
              <w:widowControl/>
              <w:suppressLineNumbers w:val="0"/>
              <w:spacing w:before="0" w:beforeAutospacing="0" w:after="0" w:afterAutospacing="0" w:line="340" w:lineRule="atLeast"/>
              <w:ind w:left="0" w:right="0"/>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color w:val="000000" w:themeColor="text1"/>
                <w:sz w:val="21"/>
                <w:szCs w:val="21"/>
                <w:lang w:val="en-US" w:eastAsia="zh-CN"/>
              </w:rPr>
              <w:t>10</w:t>
            </w:r>
            <w:r>
              <w:rPr>
                <w:rFonts w:hint="eastAsia" w:ascii="宋体" w:hAnsi="宋体" w:eastAsia="宋体" w:cs="宋体"/>
                <w:color w:val="000000" w:themeColor="text1"/>
                <w:sz w:val="21"/>
                <w:szCs w:val="21"/>
              </w:rPr>
              <w:t>分</w:t>
            </w:r>
          </w:p>
        </w:tc>
        <w:tc>
          <w:tcPr>
            <w:tcW w:w="951"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1040"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1029"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297" w:type="dxa"/>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rPr>
            </w:pPr>
            <w:r>
              <w:rPr>
                <w:rFonts w:hint="eastAsia" w:ascii="宋体" w:hAnsi="宋体" w:cs="宋体"/>
                <w:szCs w:val="21"/>
              </w:rPr>
              <w:t>荣誉</w:t>
            </w:r>
          </w:p>
        </w:tc>
        <w:tc>
          <w:tcPr>
            <w:tcW w:w="8931" w:type="dxa"/>
            <w:vAlign w:val="center"/>
          </w:tcPr>
          <w:p>
            <w:pPr>
              <w:keepNext w:val="0"/>
              <w:keepLines w:val="0"/>
              <w:widowControl/>
              <w:suppressLineNumbers w:val="0"/>
              <w:snapToGrid w:val="0"/>
              <w:spacing w:before="0" w:beforeAutospacing="0" w:after="0" w:afterAutospacing="0" w:line="276" w:lineRule="auto"/>
              <w:ind w:left="0" w:right="0"/>
              <w:rPr>
                <w:rFonts w:hint="eastAsia" w:ascii="宋体" w:hAnsi="宋体" w:cs="宋体"/>
                <w:szCs w:val="21"/>
                <w:highlight w:val="none"/>
              </w:rPr>
            </w:pPr>
            <w:r>
              <w:rPr>
                <w:rFonts w:hint="eastAsia" w:ascii="宋体" w:hAnsi="宋体" w:cs="宋体"/>
                <w:szCs w:val="21"/>
                <w:highlight w:val="none"/>
                <w:lang w:eastAsia="zh-CN"/>
              </w:rPr>
              <w:t>投标人</w:t>
            </w:r>
            <w:r>
              <w:rPr>
                <w:rFonts w:hint="eastAsia" w:ascii="宋体" w:hAnsi="宋体" w:cs="宋体"/>
                <w:szCs w:val="21"/>
                <w:highlight w:val="none"/>
              </w:rPr>
              <w:t>获得电子信息、人工智能、动物科学技术、信息系统等相关行业学会奖项的，一等奖得5分，二等奖得3分。</w:t>
            </w:r>
          </w:p>
          <w:p>
            <w:pPr>
              <w:keepNext w:val="0"/>
              <w:keepLines w:val="0"/>
              <w:widowControl/>
              <w:suppressLineNumbers w:val="0"/>
              <w:snapToGrid w:val="0"/>
              <w:spacing w:before="0" w:beforeAutospacing="0" w:after="0" w:afterAutospacing="0" w:line="276" w:lineRule="auto"/>
              <w:ind w:left="0" w:right="0"/>
              <w:rPr>
                <w:rFonts w:hint="eastAsia" w:ascii="宋体" w:hAnsi="宋体" w:eastAsia="宋体" w:cs="宋体"/>
                <w:b w:val="0"/>
                <w:bCs w:val="0"/>
                <w:color w:val="000000" w:themeColor="text1"/>
                <w:sz w:val="24"/>
                <w:szCs w:val="24"/>
              </w:rPr>
            </w:pPr>
            <w:r>
              <w:rPr>
                <w:rFonts w:hint="eastAsia" w:ascii="宋体" w:hAnsi="宋体" w:cs="宋体"/>
                <w:b/>
                <w:bCs/>
                <w:szCs w:val="21"/>
                <w:highlight w:val="none"/>
              </w:rPr>
              <w:t>注：需提供获奖证书复印件并加盖公章，不提供不得分。</w:t>
            </w:r>
          </w:p>
        </w:tc>
        <w:tc>
          <w:tcPr>
            <w:tcW w:w="77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160" w:lineRule="atLeast"/>
              <w:ind w:left="0" w:leftChars="0" w:right="0" w:firstLine="0" w:firstLineChars="0"/>
              <w:jc w:val="center"/>
              <w:textAlignment w:val="auto"/>
              <w:rPr>
                <w:rFonts w:hint="eastAsia" w:ascii="宋体" w:hAnsi="宋体" w:eastAsia="宋体" w:cs="宋体"/>
                <w:b w:val="0"/>
                <w:bCs w:val="0"/>
                <w:color w:val="000000" w:themeColor="text1"/>
                <w:sz w:val="24"/>
                <w:szCs w:val="24"/>
                <w:lang w:val="en-US" w:eastAsia="zh-CN"/>
              </w:rPr>
            </w:pPr>
            <w:r>
              <w:rPr>
                <w:rFonts w:hint="eastAsia" w:ascii="宋体" w:hAnsi="宋体" w:cs="宋体"/>
                <w:color w:val="000000"/>
                <w:spacing w:val="0"/>
                <w:kern w:val="0"/>
                <w:sz w:val="24"/>
                <w:szCs w:val="24"/>
                <w:vertAlign w:val="baseline"/>
                <w:lang w:val="en-US" w:eastAsia="zh-CN"/>
              </w:rPr>
              <w:t>5分</w:t>
            </w:r>
          </w:p>
        </w:tc>
        <w:tc>
          <w:tcPr>
            <w:tcW w:w="951"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1040"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1029"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297" w:type="dxa"/>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val="0"/>
                <w:color w:val="000000" w:themeColor="text1"/>
                <w:sz w:val="21"/>
                <w:szCs w:val="21"/>
                <w:lang w:eastAsia="zh-CN"/>
              </w:rPr>
            </w:pPr>
            <w:r>
              <w:rPr>
                <w:rFonts w:hint="eastAsia" w:ascii="宋体" w:hAnsi="宋体" w:cs="宋体"/>
                <w:szCs w:val="21"/>
              </w:rPr>
              <w:t>项目经验</w:t>
            </w:r>
          </w:p>
        </w:tc>
        <w:tc>
          <w:tcPr>
            <w:tcW w:w="8931" w:type="dxa"/>
            <w:vAlign w:val="center"/>
          </w:tcPr>
          <w:p>
            <w:pPr>
              <w:keepNext w:val="0"/>
              <w:keepLines w:val="0"/>
              <w:widowControl/>
              <w:numPr>
                <w:ilvl w:val="0"/>
                <w:numId w:val="0"/>
              </w:numPr>
              <w:suppressLineNumbers w:val="0"/>
              <w:snapToGrid w:val="0"/>
              <w:spacing w:before="0" w:beforeAutospacing="0" w:after="0" w:afterAutospacing="0" w:line="360" w:lineRule="auto"/>
              <w:ind w:left="0" w:leftChars="0" w:right="0" w:firstLine="0" w:firstLineChars="0"/>
              <w:rPr>
                <w:rFonts w:hint="eastAsia" w:ascii="宋体" w:hAnsi="宋体" w:eastAsia="宋体" w:cs="宋体"/>
                <w:b w:val="0"/>
                <w:bCs w:val="0"/>
                <w:color w:val="000000" w:themeColor="text1"/>
                <w:sz w:val="21"/>
                <w:szCs w:val="21"/>
                <w:lang w:val="en-US" w:eastAsia="zh-CN"/>
              </w:rPr>
            </w:pPr>
            <w:r>
              <w:rPr>
                <w:rFonts w:hint="eastAsia" w:ascii="宋体" w:hAnsi="宋体" w:cs="宋体"/>
                <w:szCs w:val="21"/>
                <w:lang w:eastAsia="zh-CN"/>
              </w:rPr>
              <w:t>投标人独立承接过同类项目，每提供一项合同或中标通知书得3分，最高得9分。（须提供合同或中标通知书复印件加盖公章作为证明材料，否则不得分。）</w:t>
            </w:r>
          </w:p>
        </w:tc>
        <w:tc>
          <w:tcPr>
            <w:tcW w:w="774" w:type="dxa"/>
            <w:vAlign w:val="center"/>
          </w:tcPr>
          <w:p>
            <w:pPr>
              <w:keepNext w:val="0"/>
              <w:keepLines w:val="0"/>
              <w:widowControl/>
              <w:suppressLineNumbers w:val="0"/>
              <w:spacing w:before="0" w:beforeAutospacing="0" w:after="0" w:afterAutospacing="0" w:line="340" w:lineRule="atLeast"/>
              <w:ind w:left="0" w:right="0"/>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rPr>
              <w:t>分</w:t>
            </w:r>
          </w:p>
        </w:tc>
        <w:tc>
          <w:tcPr>
            <w:tcW w:w="951"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1040"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1029"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228" w:type="dxa"/>
            <w:gridSpan w:val="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160" w:lineRule="atLeast"/>
              <w:ind w:left="0" w:leftChars="0" w:right="0" w:firstLine="0" w:firstLineChars="0"/>
              <w:jc w:val="center"/>
              <w:textAlignment w:val="auto"/>
              <w:rPr>
                <w:rFonts w:hint="eastAsia" w:ascii="宋体" w:hAnsi="宋体" w:cs="宋体"/>
                <w:color w:val="000000"/>
                <w:spacing w:val="0"/>
                <w:sz w:val="24"/>
                <w:szCs w:val="24"/>
                <w:vertAlign w:val="baseline"/>
                <w:lang w:val="en-US" w:eastAsia="zh-CN"/>
              </w:rPr>
            </w:pPr>
            <w:r>
              <w:rPr>
                <w:rFonts w:hint="eastAsia" w:ascii="宋体" w:hAnsi="宋体" w:cs="宋体"/>
                <w:color w:val="000000"/>
                <w:spacing w:val="0"/>
                <w:sz w:val="24"/>
                <w:szCs w:val="24"/>
                <w:vertAlign w:val="baseline"/>
                <w:lang w:val="en-US" w:eastAsia="zh-CN"/>
              </w:rPr>
              <w:t>合计</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atLeast"/>
              <w:ind w:left="0" w:leftChars="0" w:right="0" w:firstLine="0" w:firstLineChars="0"/>
              <w:jc w:val="left"/>
              <w:textAlignment w:val="auto"/>
              <w:rPr>
                <w:rFonts w:hint="default" w:ascii="宋体" w:hAnsi="宋体" w:cs="宋体"/>
                <w:color w:val="000000"/>
                <w:spacing w:val="0"/>
                <w:sz w:val="24"/>
                <w:szCs w:val="24"/>
                <w:vertAlign w:val="baseline"/>
                <w:lang w:val="en-US" w:eastAsia="zh-CN"/>
              </w:rPr>
            </w:pPr>
            <w:r>
              <w:rPr>
                <w:rFonts w:hint="eastAsia" w:ascii="宋体" w:hAnsi="宋体" w:cs="宋体"/>
                <w:color w:val="000000"/>
                <w:spacing w:val="0"/>
                <w:sz w:val="24"/>
                <w:szCs w:val="24"/>
                <w:vertAlign w:val="baseline"/>
                <w:lang w:val="en-US" w:eastAsia="zh-CN"/>
              </w:rPr>
              <w:t>24分</w:t>
            </w:r>
          </w:p>
        </w:tc>
        <w:tc>
          <w:tcPr>
            <w:tcW w:w="951"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1040"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1029"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bl>
    <w:p>
      <w:pPr>
        <w:spacing w:line="360" w:lineRule="auto"/>
        <w:jc w:val="both"/>
        <w:rPr>
          <w:rFonts w:hint="eastAsia" w:ascii="宋体" w:hAnsi="宋体"/>
          <w:b/>
          <w:color w:val="auto"/>
          <w:sz w:val="24"/>
          <w:szCs w:val="24"/>
          <w:lang w:eastAsia="zh-CN"/>
        </w:rPr>
      </w:pPr>
    </w:p>
    <w:p>
      <w:pPr>
        <w:rPr>
          <w:rFonts w:hint="eastAsia" w:ascii="宋体" w:hAnsi="宋体"/>
          <w:b/>
          <w:szCs w:val="21"/>
        </w:rPr>
      </w:pPr>
      <w:r>
        <w:rPr>
          <w:rFonts w:hint="eastAsia" w:ascii="宋体" w:hAnsi="宋体"/>
          <w:b/>
          <w:szCs w:val="21"/>
        </w:rPr>
        <w:t>注：1、招标文件要求提交的与评价指标体系相关的各类有效资料，响应供应商如未按要求提交的，该项评分为零分。</w:t>
      </w:r>
    </w:p>
    <w:p>
      <w:pPr>
        <w:spacing w:line="360" w:lineRule="auto"/>
        <w:ind w:firstLine="422" w:firstLineChars="200"/>
        <w:jc w:val="both"/>
        <w:rPr>
          <w:rFonts w:hint="eastAsia" w:ascii="宋体" w:hAnsi="宋体"/>
          <w:b/>
          <w:color w:val="auto"/>
          <w:sz w:val="24"/>
          <w:szCs w:val="21"/>
          <w:lang w:eastAsia="zh-CN"/>
        </w:rPr>
      </w:pPr>
      <w:r>
        <w:rPr>
          <w:rFonts w:ascii="宋体" w:hAnsi="宋体"/>
          <w:b/>
          <w:szCs w:val="21"/>
        </w:rPr>
        <w:t>2</w:t>
      </w:r>
      <w:r>
        <w:rPr>
          <w:rFonts w:hint="eastAsia" w:ascii="宋体" w:hAnsi="宋体"/>
          <w:b/>
          <w:szCs w:val="21"/>
        </w:rPr>
        <w:t>、商务评分：所有评委评分分值的算术平均值（四舍五入后，小数点后保留两位有效数）。</w:t>
      </w: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r>
        <w:rPr>
          <w:rFonts w:hint="eastAsia" w:ascii="宋体" w:hAnsi="宋体"/>
          <w:b/>
          <w:color w:val="auto"/>
          <w:sz w:val="24"/>
          <w:szCs w:val="24"/>
          <w:lang w:eastAsia="zh-CN"/>
        </w:rPr>
        <w:t>广东罗定金银湖国家湿地公园科研监测设备采购及在线监测系统集成服务项目</w:t>
      </w:r>
    </w:p>
    <w:p>
      <w:pPr>
        <w:spacing w:line="360" w:lineRule="auto"/>
        <w:jc w:val="center"/>
        <w:rPr>
          <w:rFonts w:ascii="宋体"/>
          <w:b/>
          <w:color w:val="auto"/>
          <w:sz w:val="24"/>
          <w:szCs w:val="24"/>
        </w:rPr>
      </w:pPr>
      <w:r>
        <w:rPr>
          <w:rFonts w:hint="eastAsia" w:ascii="宋体" w:hAnsi="宋体"/>
          <w:b/>
          <w:color w:val="auto"/>
          <w:sz w:val="24"/>
          <w:szCs w:val="24"/>
        </w:rPr>
        <w:t>（</w:t>
      </w:r>
      <w:r>
        <w:rPr>
          <w:rFonts w:hint="eastAsia" w:ascii="宋体" w:hAnsi="宋体"/>
          <w:b/>
          <w:color w:val="auto"/>
          <w:sz w:val="24"/>
          <w:szCs w:val="24"/>
          <w:lang w:eastAsia="zh-CN"/>
        </w:rPr>
        <w:t xml:space="preserve">采购编号：445381-202005-81327002-0002  </w:t>
      </w:r>
      <w:r>
        <w:rPr>
          <w:rFonts w:hint="eastAsia" w:ascii="宋体" w:hAnsi="宋体"/>
          <w:b/>
          <w:color w:val="auto"/>
          <w:sz w:val="24"/>
          <w:szCs w:val="24"/>
        </w:rPr>
        <w:t>）</w:t>
      </w:r>
      <w:r>
        <w:rPr>
          <w:rFonts w:hint="eastAsia"/>
          <w:b/>
          <w:color w:val="auto"/>
          <w:sz w:val="24"/>
          <w:szCs w:val="24"/>
          <w:lang w:eastAsia="zh-CN"/>
        </w:rPr>
        <w:t>技术</w:t>
      </w:r>
      <w:r>
        <w:rPr>
          <w:rFonts w:hint="eastAsia"/>
          <w:b/>
          <w:color w:val="auto"/>
          <w:sz w:val="24"/>
          <w:szCs w:val="24"/>
        </w:rPr>
        <w:t>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签章</w:t>
      </w:r>
      <w:r>
        <w:rPr>
          <w:rFonts w:hint="eastAsia"/>
          <w:b/>
          <w:color w:val="auto"/>
          <w:szCs w:val="21"/>
        </w:rPr>
        <w:t>：</w:t>
      </w:r>
      <w:r>
        <w:rPr>
          <w:b/>
          <w:color w:val="auto"/>
          <w:szCs w:val="21"/>
        </w:rPr>
        <w:t>____________</w:t>
      </w:r>
    </w:p>
    <w:tbl>
      <w:tblPr>
        <w:tblStyle w:val="27"/>
        <w:tblpPr w:leftFromText="180" w:rightFromText="180" w:vertAnchor="text" w:horzAnchor="page" w:tblpX="1567" w:tblpY="35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638"/>
        <w:gridCol w:w="8985"/>
        <w:gridCol w:w="773"/>
        <w:gridCol w:w="953"/>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49" w:type="pct"/>
            <w:gridSpan w:val="3"/>
            <w:tcBorders>
              <w:tl2br w:val="single" w:color="auto" w:sz="4" w:space="0"/>
            </w:tcBorders>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                                                                                       投标单位</w:t>
            </w:r>
          </w:p>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评审内容</w:t>
            </w:r>
          </w:p>
        </w:tc>
        <w:tc>
          <w:tcPr>
            <w:tcW w:w="275"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分值</w:t>
            </w:r>
          </w:p>
        </w:tc>
        <w:tc>
          <w:tcPr>
            <w:tcW w:w="339"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c>
          <w:tcPr>
            <w:tcW w:w="370"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lang w:eastAsia="zh-CN"/>
              </w:rPr>
              <w:t>报价人名称</w:t>
            </w:r>
          </w:p>
        </w:tc>
        <w:tc>
          <w:tcPr>
            <w:tcW w:w="366"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25" w:type="pct"/>
            <w:vMerge w:val="restart"/>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技</w:t>
            </w:r>
          </w:p>
          <w:p>
            <w:pPr>
              <w:keepNext w:val="0"/>
              <w:keepLines w:val="0"/>
              <w:widowControl/>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术</w:t>
            </w:r>
          </w:p>
          <w:p>
            <w:pPr>
              <w:keepNext w:val="0"/>
              <w:keepLines w:val="0"/>
              <w:widowControl/>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方</w:t>
            </w:r>
          </w:p>
          <w:p>
            <w:pPr>
              <w:keepNext w:val="0"/>
              <w:keepLines w:val="0"/>
              <w:widowControl/>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24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rPr>
            </w:pPr>
          </w:p>
        </w:tc>
        <w:tc>
          <w:tcPr>
            <w:tcW w:w="227" w:type="pct"/>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cs="宋体"/>
                <w:szCs w:val="21"/>
              </w:rPr>
              <w:t>设备要求</w:t>
            </w:r>
          </w:p>
        </w:tc>
        <w:tc>
          <w:tcPr>
            <w:tcW w:w="3196" w:type="pct"/>
            <w:vAlign w:val="center"/>
          </w:tcPr>
          <w:p>
            <w:pPr>
              <w:keepNext w:val="0"/>
              <w:keepLines w:val="0"/>
              <w:widowControl/>
              <w:numPr>
                <w:ilvl w:val="0"/>
                <w:numId w:val="0"/>
              </w:numPr>
              <w:suppressLineNumbers w:val="0"/>
              <w:snapToGrid w:val="0"/>
              <w:spacing w:before="0" w:beforeAutospacing="0" w:after="0" w:afterAutospacing="0" w:line="360" w:lineRule="auto"/>
              <w:ind w:left="0" w:leftChars="0" w:right="0" w:firstLine="0" w:firstLineChars="0"/>
              <w:rPr>
                <w:rFonts w:hint="eastAsia" w:ascii="宋体" w:hAnsi="宋体" w:eastAsia="宋体" w:cs="宋体"/>
                <w:color w:val="000000" w:themeColor="text1"/>
                <w:sz w:val="21"/>
                <w:szCs w:val="21"/>
                <w:lang w:eastAsia="zh-CN"/>
              </w:rPr>
            </w:pPr>
            <w:r>
              <w:rPr>
                <w:rFonts w:hint="eastAsia" w:ascii="宋体" w:hAnsi="宋体" w:cs="宋体"/>
                <w:szCs w:val="21"/>
              </w:rPr>
              <w:t>根据所投货物及提供的服务对项目要求及技术需求中响应程度打分。满足一个“▲”得4分，共计24分。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szCs w:val="21"/>
                <w:lang w:val="en-US" w:eastAsia="zh-CN"/>
              </w:rPr>
              <w:t>24</w:t>
            </w:r>
            <w:r>
              <w:rPr>
                <w:rFonts w:hint="eastAsia" w:ascii="宋体" w:hAnsi="宋体" w:cs="宋体"/>
                <w:szCs w:val="21"/>
              </w:rPr>
              <w:t>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5" w:type="pct"/>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24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227" w:type="pct"/>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cs="宋体"/>
                <w:szCs w:val="21"/>
              </w:rPr>
              <w:t>系统演示</w:t>
            </w:r>
          </w:p>
        </w:tc>
        <w:tc>
          <w:tcPr>
            <w:tcW w:w="3196" w:type="pct"/>
            <w:vAlign w:val="center"/>
          </w:tcPr>
          <w:p>
            <w:pPr>
              <w:keepNext w:val="0"/>
              <w:keepLines w:val="0"/>
              <w:widowControl/>
              <w:numPr>
                <w:ilvl w:val="0"/>
                <w:numId w:val="0"/>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响应供应商提供的系统的功能满足招标文件要求，系统的功能齐全，能够演示招标需求中：以采用B/S模型运行、支持三维地图缓存并且实现离线状态下进行独立本地运行、支持瓦片金字塔多分辨率层次模型、支持三维立体模型等功能，能够表现三维场景的实时渲染展现；以及更够展示多设备的追踪定位与轨迹查看。</w:t>
            </w:r>
          </w:p>
          <w:p>
            <w:pPr>
              <w:keepNext w:val="0"/>
              <w:keepLines w:val="0"/>
              <w:widowControl/>
              <w:numPr>
                <w:ilvl w:val="0"/>
                <w:numId w:val="0"/>
              </w:numPr>
              <w:suppressLineNumbers w:val="0"/>
              <w:snapToGrid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r>
              <w:rPr>
                <w:rFonts w:hint="eastAsia" w:ascii="宋体" w:hAnsi="宋体" w:cs="宋体"/>
                <w:szCs w:val="21"/>
              </w:rPr>
              <w:t>响应情况好的得16分；较好的得12分；一般的得8分;较差的得4分，不演示不得分。备注：演示时间为10分钟</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szCs w:val="21"/>
                <w:lang w:val="en-US" w:eastAsia="zh-CN"/>
              </w:rPr>
              <w:t>16</w:t>
            </w:r>
            <w:r>
              <w:rPr>
                <w:rFonts w:hint="eastAsia" w:ascii="宋体" w:hAnsi="宋体" w:cs="宋体"/>
                <w:szCs w:val="21"/>
              </w:rPr>
              <w:t>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225" w:type="pct"/>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240" w:lineRule="auto"/>
              <w:ind w:left="0" w:leftChars="0" w:right="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p>
        </w:tc>
        <w:tc>
          <w:tcPr>
            <w:tcW w:w="227" w:type="pct"/>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建设项目方案</w:t>
            </w:r>
          </w:p>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cs="宋体"/>
                <w:szCs w:val="21"/>
              </w:rPr>
              <w:t>深化设计</w:t>
            </w:r>
          </w:p>
        </w:tc>
        <w:tc>
          <w:tcPr>
            <w:tcW w:w="3196" w:type="pct"/>
            <w:vAlign w:val="center"/>
          </w:tcPr>
          <w:p>
            <w:pPr>
              <w:keepNext w:val="0"/>
              <w:keepLines w:val="0"/>
              <w:widowControl/>
              <w:numPr>
                <w:ilvl w:val="0"/>
                <w:numId w:val="14"/>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服务方案是否符合本招标项目服务的内容和要求，方案是否有针对性、任务分解是否落实到位，节点是否清晰，工作流程实施可行。</w:t>
            </w:r>
          </w:p>
          <w:p>
            <w:pPr>
              <w:keepNext w:val="0"/>
              <w:keepLines w:val="0"/>
              <w:widowControl/>
              <w:numPr>
                <w:ilvl w:val="0"/>
                <w:numId w:val="14"/>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项目理解熟识度，理解研究意图和目标理解准确度。</w:t>
            </w:r>
          </w:p>
          <w:p>
            <w:pPr>
              <w:keepNext w:val="0"/>
              <w:keepLines w:val="0"/>
              <w:widowControl/>
              <w:numPr>
                <w:ilvl w:val="0"/>
                <w:numId w:val="14"/>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服务的重点难点和应对措施，是否能实现招标的需要。</w:t>
            </w:r>
          </w:p>
          <w:p>
            <w:pPr>
              <w:keepNext w:val="0"/>
              <w:keepLines w:val="0"/>
              <w:widowControl/>
              <w:numPr>
                <w:ilvl w:val="0"/>
                <w:numId w:val="14"/>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对服务中应急服务的分析情况、突发事项的应对措施服务。</w:t>
            </w:r>
          </w:p>
          <w:p>
            <w:pPr>
              <w:keepNext w:val="0"/>
              <w:keepLines w:val="0"/>
              <w:widowControl/>
              <w:numPr>
                <w:ilvl w:val="0"/>
                <w:numId w:val="14"/>
              </w:numPr>
              <w:suppressLineNumbers w:val="0"/>
              <w:snapToGrid w:val="0"/>
              <w:spacing w:before="0" w:beforeAutospacing="0" w:after="0" w:afterAutospacing="0" w:line="360" w:lineRule="auto"/>
              <w:ind w:left="0" w:right="0"/>
              <w:rPr>
                <w:rFonts w:hint="eastAsia" w:ascii="宋体" w:hAnsi="宋体" w:eastAsia="宋体" w:cs="宋体"/>
                <w:color w:val="000000"/>
                <w:spacing w:val="0"/>
                <w:kern w:val="0"/>
                <w:sz w:val="21"/>
                <w:szCs w:val="21"/>
                <w:vertAlign w:val="baseline"/>
                <w:lang w:val="en-US" w:eastAsia="zh-CN"/>
              </w:rPr>
            </w:pPr>
            <w:r>
              <w:rPr>
                <w:rFonts w:hint="eastAsia" w:ascii="宋体" w:hAnsi="宋体" w:cs="宋体"/>
                <w:szCs w:val="21"/>
              </w:rPr>
              <w:t>响应情况好的得15分;较好的得1</w:t>
            </w:r>
            <w:r>
              <w:rPr>
                <w:rFonts w:hint="eastAsia" w:ascii="宋体" w:hAnsi="宋体" w:cs="宋体"/>
                <w:szCs w:val="21"/>
                <w:lang w:val="en-US" w:eastAsia="zh-CN"/>
              </w:rPr>
              <w:t>2</w:t>
            </w:r>
            <w:r>
              <w:rPr>
                <w:rFonts w:hint="eastAsia" w:ascii="宋体" w:hAnsi="宋体" w:cs="宋体"/>
                <w:szCs w:val="21"/>
              </w:rPr>
              <w:t>分;一般的得</w:t>
            </w:r>
            <w:r>
              <w:rPr>
                <w:rFonts w:hint="eastAsia" w:ascii="宋体" w:hAnsi="宋体" w:cs="宋体"/>
                <w:szCs w:val="21"/>
                <w:lang w:val="en-US" w:eastAsia="zh-CN"/>
              </w:rPr>
              <w:t>8</w:t>
            </w:r>
            <w:r>
              <w:rPr>
                <w:rFonts w:hint="eastAsia" w:ascii="宋体" w:hAnsi="宋体" w:cs="宋体"/>
                <w:szCs w:val="21"/>
              </w:rPr>
              <w:t>分;较差的得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（不提供不得分）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s="宋体"/>
                <w:color w:val="000000" w:themeColor="text1"/>
                <w:sz w:val="21"/>
                <w:szCs w:val="21"/>
                <w:lang w:val="en-US" w:eastAsia="zh-CN"/>
              </w:rPr>
            </w:pPr>
            <w:r>
              <w:rPr>
                <w:rFonts w:hint="eastAsia" w:ascii="宋体" w:hAnsi="宋体" w:cs="宋体"/>
                <w:szCs w:val="21"/>
                <w:lang w:val="en-US" w:eastAsia="zh-CN"/>
              </w:rPr>
              <w:t>15</w:t>
            </w:r>
            <w:r>
              <w:rPr>
                <w:rFonts w:hint="eastAsia" w:ascii="宋体" w:hAnsi="宋体" w:cs="宋体"/>
                <w:szCs w:val="21"/>
              </w:rPr>
              <w:t>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225" w:type="pct"/>
            <w:vMerge w:val="continue"/>
            <w:vAlign w:val="center"/>
          </w:tcPr>
          <w:p>
            <w:pPr>
              <w:keepNext w:val="0"/>
              <w:keepLines w:val="0"/>
              <w:widowControl/>
              <w:suppressLineNumbers w:val="0"/>
              <w:spacing w:before="0" w:beforeAutospacing="0" w:after="0" w:afterAutospacing="0"/>
              <w:ind w:left="0" w:right="0"/>
              <w:rPr>
                <w:rFonts w:hint="eastAsia"/>
                <w:lang w:val="en-US" w:eastAsia="zh-CN"/>
              </w:rPr>
            </w:pPr>
          </w:p>
        </w:tc>
        <w:tc>
          <w:tcPr>
            <w:tcW w:w="227" w:type="pct"/>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cs="宋体"/>
                <w:szCs w:val="21"/>
              </w:rPr>
              <w:t>质量保证方案</w:t>
            </w:r>
          </w:p>
        </w:tc>
        <w:tc>
          <w:tcPr>
            <w:tcW w:w="3196" w:type="pct"/>
            <w:vAlign w:val="center"/>
          </w:tcPr>
          <w:p>
            <w:pPr>
              <w:keepNext w:val="0"/>
              <w:keepLines w:val="0"/>
              <w:widowControl/>
              <w:numPr>
                <w:ilvl w:val="0"/>
                <w:numId w:val="0"/>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根据响应供应商提供的质量保证方案进行综合评审：</w:t>
            </w:r>
          </w:p>
          <w:p>
            <w:pPr>
              <w:keepNext w:val="0"/>
              <w:keepLines w:val="0"/>
              <w:widowControl/>
              <w:numPr>
                <w:ilvl w:val="0"/>
                <w:numId w:val="15"/>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方案全面、科学合理、完全满足或优于招标文件需求的，得4分；</w:t>
            </w:r>
          </w:p>
          <w:p>
            <w:pPr>
              <w:keepNext w:val="0"/>
              <w:keepLines w:val="0"/>
              <w:widowControl/>
              <w:numPr>
                <w:ilvl w:val="0"/>
                <w:numId w:val="15"/>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方案全面合理、基本满足招标文件需求的，得3分；</w:t>
            </w:r>
          </w:p>
          <w:p>
            <w:pPr>
              <w:keepNext w:val="0"/>
              <w:keepLines w:val="0"/>
              <w:widowControl/>
              <w:numPr>
                <w:ilvl w:val="0"/>
                <w:numId w:val="15"/>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方案基本合理、一般可行，得 2 分；</w:t>
            </w:r>
          </w:p>
          <w:p>
            <w:pPr>
              <w:keepNext w:val="0"/>
              <w:keepLines w:val="0"/>
              <w:widowControl/>
              <w:numPr>
                <w:ilvl w:val="0"/>
                <w:numId w:val="15"/>
              </w:numPr>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方案不合理、可行性差，得 1分；</w:t>
            </w:r>
          </w:p>
          <w:p>
            <w:pPr>
              <w:keepNext w:val="0"/>
              <w:keepLines w:val="0"/>
              <w:widowControl/>
              <w:numPr>
                <w:ilvl w:val="0"/>
                <w:numId w:val="15"/>
              </w:numPr>
              <w:suppressLineNumbers w:val="0"/>
              <w:snapToGrid w:val="0"/>
              <w:spacing w:before="0" w:beforeAutospacing="0" w:after="0" w:afterAutospacing="0" w:line="360" w:lineRule="auto"/>
              <w:ind w:left="0" w:leftChars="0" w:right="0" w:firstLine="0" w:firstLineChars="0"/>
              <w:rPr>
                <w:rFonts w:hint="eastAsia" w:ascii="宋体" w:hAnsi="宋体" w:cs="宋体"/>
                <w:szCs w:val="21"/>
              </w:rPr>
            </w:pPr>
            <w:r>
              <w:rPr>
                <w:rFonts w:hint="eastAsia" w:ascii="宋体" w:hAnsi="宋体" w:cs="宋体"/>
                <w:szCs w:val="21"/>
              </w:rPr>
              <w:t>不提供不得分。</w:t>
            </w:r>
          </w:p>
          <w:p>
            <w:pPr>
              <w:keepNext w:val="0"/>
              <w:keepLines w:val="0"/>
              <w:widowControl/>
              <w:numPr>
                <w:ilvl w:val="0"/>
                <w:numId w:val="0"/>
              </w:numPr>
              <w:suppressLineNumbers w:val="0"/>
              <w:snapToGrid w:val="0"/>
              <w:spacing w:before="0" w:beforeAutospacing="0" w:after="0" w:afterAutospacing="0" w:line="360" w:lineRule="auto"/>
              <w:ind w:left="0" w:right="0"/>
              <w:rPr>
                <w:rFonts w:hint="eastAsia" w:ascii="宋体" w:hAnsi="宋体" w:eastAsia="宋体" w:cs="宋体"/>
                <w:color w:val="000000"/>
                <w:spacing w:val="0"/>
                <w:kern w:val="0"/>
                <w:sz w:val="21"/>
                <w:szCs w:val="21"/>
                <w:vertAlign w:val="baseline"/>
                <w:lang w:val="en-US" w:eastAsia="zh-CN"/>
              </w:rPr>
            </w:pPr>
            <w:r>
              <w:rPr>
                <w:rFonts w:hint="eastAsia" w:ascii="宋体" w:hAnsi="宋体" w:cs="宋体"/>
                <w:szCs w:val="21"/>
              </w:rPr>
              <w:t>（需提供保证措施方案并加盖公章；不提供不得分）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cs="宋体"/>
                <w:color w:val="000000" w:themeColor="text1"/>
                <w:sz w:val="21"/>
                <w:szCs w:val="21"/>
                <w:lang w:val="en-US" w:eastAsia="zh-CN"/>
              </w:rPr>
            </w:pPr>
            <w:r>
              <w:rPr>
                <w:rFonts w:hint="eastAsia" w:ascii="宋体" w:hAnsi="宋体" w:cs="宋体"/>
                <w:szCs w:val="21"/>
                <w:lang w:val="en-US" w:eastAsia="zh-CN"/>
              </w:rPr>
              <w:t>4</w:t>
            </w:r>
            <w:r>
              <w:rPr>
                <w:rFonts w:hint="eastAsia" w:ascii="宋体" w:hAnsi="宋体" w:cs="宋体"/>
                <w:szCs w:val="21"/>
              </w:rPr>
              <w:t>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225"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240" w:lineRule="auto"/>
              <w:ind w:left="0" w:leftChars="0" w:right="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cs="宋体"/>
                <w:szCs w:val="21"/>
              </w:rPr>
              <w:t>项目编制技术人员配备情况</w:t>
            </w:r>
          </w:p>
        </w:tc>
        <w:tc>
          <w:tcPr>
            <w:tcW w:w="227" w:type="pct"/>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售后服务及技术</w:t>
            </w:r>
          </w:p>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cs="宋体"/>
                <w:szCs w:val="21"/>
              </w:rPr>
              <w:t>支持</w:t>
            </w:r>
          </w:p>
        </w:tc>
        <w:tc>
          <w:tcPr>
            <w:tcW w:w="3196" w:type="pct"/>
            <w:vAlign w:val="top"/>
          </w:tcPr>
          <w:p>
            <w:pPr>
              <w:keepNext w:val="0"/>
              <w:keepLines w:val="0"/>
              <w:widowControl/>
              <w:suppressLineNumbers w:val="0"/>
              <w:snapToGrid w:val="0"/>
              <w:spacing w:before="0" w:beforeAutospacing="0" w:after="0" w:afterAutospacing="0" w:line="360" w:lineRule="auto"/>
              <w:ind w:left="0" w:right="0"/>
              <w:rPr>
                <w:rFonts w:hint="eastAsia"/>
                <w:szCs w:val="21"/>
              </w:rPr>
            </w:pPr>
            <w:r>
              <w:rPr>
                <w:rFonts w:hint="eastAsia"/>
                <w:szCs w:val="21"/>
              </w:rPr>
              <w:t>根据响应供应商对本项目提出的售后服务及技术支持方案进行综合评审：</w:t>
            </w:r>
          </w:p>
          <w:p>
            <w:pPr>
              <w:keepNext w:val="0"/>
              <w:keepLines w:val="0"/>
              <w:widowControl/>
              <w:suppressLineNumbers w:val="0"/>
              <w:snapToGrid w:val="0"/>
              <w:spacing w:before="0" w:beforeAutospacing="0" w:after="0" w:afterAutospacing="0" w:line="360" w:lineRule="auto"/>
              <w:ind w:left="0" w:right="0"/>
              <w:rPr>
                <w:rFonts w:hint="eastAsia"/>
                <w:szCs w:val="21"/>
              </w:rPr>
            </w:pPr>
            <w:r>
              <w:rPr>
                <w:rFonts w:hint="eastAsia"/>
                <w:szCs w:val="21"/>
              </w:rPr>
              <w:t>1.售后服务及技术支持方案措施详细，明确，可操作性强，售后服务流程、应急预案、质量保障，响应时间，有良好的回访制度，承诺售后服务周到细致的，满足或优于招标文件要求的，得7分；</w:t>
            </w:r>
          </w:p>
          <w:p>
            <w:pPr>
              <w:keepNext w:val="0"/>
              <w:keepLines w:val="0"/>
              <w:widowControl/>
              <w:suppressLineNumbers w:val="0"/>
              <w:snapToGrid w:val="0"/>
              <w:spacing w:before="0" w:beforeAutospacing="0" w:after="0" w:afterAutospacing="0" w:line="360" w:lineRule="auto"/>
              <w:ind w:left="0" w:right="0"/>
              <w:rPr>
                <w:rFonts w:hint="eastAsia"/>
                <w:szCs w:val="21"/>
              </w:rPr>
            </w:pPr>
            <w:r>
              <w:rPr>
                <w:rFonts w:hint="eastAsia"/>
                <w:szCs w:val="21"/>
              </w:rPr>
              <w:t>2.售后服务及技术支持方案描述较详细，对服务措施、应急预案、响应时间等有详细描述，基本满足招标文件要求，得5分；</w:t>
            </w:r>
          </w:p>
          <w:p>
            <w:pPr>
              <w:keepNext w:val="0"/>
              <w:keepLines w:val="0"/>
              <w:widowControl/>
              <w:suppressLineNumbers w:val="0"/>
              <w:snapToGrid w:val="0"/>
              <w:spacing w:before="0" w:beforeAutospacing="0" w:after="0" w:afterAutospacing="0" w:line="360" w:lineRule="auto"/>
              <w:ind w:left="0" w:right="0"/>
              <w:rPr>
                <w:rFonts w:hint="eastAsia"/>
                <w:szCs w:val="21"/>
              </w:rPr>
            </w:pPr>
            <w:r>
              <w:rPr>
                <w:rFonts w:hint="eastAsia"/>
                <w:szCs w:val="21"/>
              </w:rPr>
              <w:t>3.售后服务及技术支持方案简单，对服务措施、应急预案、响应时间等有一般的描述，基本满足招标文件要求的，得3分；</w:t>
            </w:r>
          </w:p>
          <w:p>
            <w:pPr>
              <w:keepNext w:val="0"/>
              <w:keepLines w:val="0"/>
              <w:widowControl/>
              <w:suppressLineNumbers w:val="0"/>
              <w:snapToGrid w:val="0"/>
              <w:spacing w:before="0" w:beforeAutospacing="0" w:after="0" w:afterAutospacing="0" w:line="360" w:lineRule="auto"/>
              <w:ind w:left="0" w:right="0"/>
              <w:rPr>
                <w:rFonts w:hint="eastAsia"/>
                <w:szCs w:val="21"/>
              </w:rPr>
            </w:pPr>
            <w:r>
              <w:rPr>
                <w:rFonts w:hint="eastAsia"/>
                <w:szCs w:val="21"/>
              </w:rPr>
              <w:t>4. 售后服务及技术支持方案简单，对服务措施、应急预案、响应时间等有描述不清，不能满足招标文件要求的，得1分；</w:t>
            </w:r>
          </w:p>
          <w:p>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000000"/>
                <w:spacing w:val="0"/>
                <w:kern w:val="0"/>
                <w:sz w:val="21"/>
                <w:szCs w:val="21"/>
                <w:vertAlign w:val="baseline"/>
                <w:lang w:val="en-US" w:eastAsia="zh-CN"/>
              </w:rPr>
            </w:pPr>
            <w:r>
              <w:rPr>
                <w:rFonts w:hint="eastAsia"/>
                <w:szCs w:val="21"/>
              </w:rPr>
              <w:t>5.不提供不得分。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cs="宋体"/>
                <w:color w:val="000000" w:themeColor="text1"/>
                <w:sz w:val="21"/>
                <w:szCs w:val="21"/>
                <w:lang w:val="en-US" w:eastAsia="zh-CN"/>
              </w:rPr>
            </w:pPr>
            <w:r>
              <w:rPr>
                <w:rFonts w:hint="eastAsia" w:ascii="宋体" w:hAnsi="宋体" w:cs="宋体"/>
                <w:szCs w:val="21"/>
                <w:lang w:val="en-US" w:eastAsia="zh-CN"/>
              </w:rPr>
              <w:t>7</w:t>
            </w:r>
            <w:r>
              <w:rPr>
                <w:rFonts w:hint="eastAsia" w:ascii="宋体" w:hAnsi="宋体" w:cs="宋体"/>
                <w:szCs w:val="21"/>
              </w:rPr>
              <w:t>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649" w:type="pct"/>
            <w:gridSpan w:val="3"/>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合计</w:t>
            </w:r>
          </w:p>
        </w:tc>
        <w:tc>
          <w:tcPr>
            <w:tcW w:w="275" w:type="pct"/>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66分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bl>
    <w:p>
      <w:pPr>
        <w:rPr>
          <w:rFonts w:hint="eastAsia"/>
          <w:color w:val="auto"/>
        </w:rPr>
      </w:pPr>
    </w:p>
    <w:p>
      <w:pPr>
        <w:rPr>
          <w:rFonts w:ascii="宋体" w:hAnsi="宋体"/>
          <w:b/>
          <w:szCs w:val="21"/>
        </w:rPr>
      </w:pPr>
      <w:r>
        <w:rPr>
          <w:rFonts w:hint="eastAsia" w:ascii="宋体" w:hAnsi="宋体"/>
          <w:b/>
          <w:szCs w:val="21"/>
        </w:rPr>
        <w:t>注：1、招标文件要求提交的与评价指标体系相关的各类有效资料，响应供应商如未按要求提交的，该项评分为零分。</w:t>
      </w:r>
    </w:p>
    <w:p>
      <w:pPr>
        <w:numPr>
          <w:ilvl w:val="0"/>
          <w:numId w:val="16"/>
        </w:numPr>
        <w:ind w:firstLine="422" w:firstLineChars="200"/>
        <w:rPr>
          <w:rFonts w:hint="eastAsia" w:ascii="宋体" w:hAnsi="宋体"/>
          <w:b/>
          <w:szCs w:val="21"/>
        </w:rPr>
      </w:pPr>
      <w:r>
        <w:rPr>
          <w:rFonts w:hint="eastAsia" w:ascii="宋体" w:hAnsi="宋体"/>
          <w:b/>
          <w:szCs w:val="21"/>
        </w:rPr>
        <w:t>技术评分：所有评委评分分值的算术平均值（四舍五入后，小数点后保留两位有效数）。</w:t>
      </w:r>
    </w:p>
    <w:p>
      <w:pPr>
        <w:pStyle w:val="3"/>
        <w:numPr>
          <w:ilvl w:val="0"/>
          <w:numId w:val="16"/>
        </w:numPr>
        <w:sectPr>
          <w:headerReference r:id="rId12" w:type="default"/>
          <w:footerReference r:id="rId13" w:type="default"/>
          <w:pgSz w:w="16840" w:h="11907" w:orient="landscape"/>
          <w:pgMar w:top="1418" w:right="1440" w:bottom="1418" w:left="1559" w:header="851" w:footer="851" w:gutter="0"/>
          <w:pgNumType w:fmt="decimal"/>
          <w:cols w:space="720" w:num="1"/>
          <w:docGrid w:linePitch="285" w:charSpace="0"/>
        </w:sectPr>
      </w:pPr>
    </w:p>
    <w:p>
      <w:pPr>
        <w:snapToGrid w:val="0"/>
        <w:spacing w:before="60" w:line="360" w:lineRule="auto"/>
        <w:ind w:left="540" w:right="-105" w:rightChars="-50" w:hanging="619" w:hangingChars="257"/>
        <w:jc w:val="center"/>
        <w:rPr>
          <w:rFonts w:hint="eastAsia" w:ascii="宋体" w:hAnsi="宋体" w:cs="Arial"/>
          <w:b/>
          <w:bCs/>
          <w:color w:val="auto"/>
          <w:sz w:val="24"/>
          <w:szCs w:val="24"/>
          <w:lang w:eastAsia="zh-CN"/>
        </w:rPr>
      </w:pPr>
    </w:p>
    <w:p>
      <w:pPr>
        <w:snapToGrid w:val="0"/>
        <w:spacing w:before="60" w:line="360" w:lineRule="auto"/>
        <w:ind w:left="540" w:right="-105" w:rightChars="-50" w:hanging="619" w:hangingChars="257"/>
        <w:jc w:val="center"/>
        <w:rPr>
          <w:rFonts w:hint="eastAsia" w:ascii="宋体" w:hAnsi="宋体" w:eastAsia="宋体" w:cs="Arial"/>
          <w:b/>
          <w:bCs/>
          <w:color w:val="auto"/>
          <w:sz w:val="24"/>
          <w:szCs w:val="24"/>
          <w:lang w:eastAsia="zh-CN"/>
        </w:rPr>
      </w:pPr>
      <w:r>
        <w:rPr>
          <w:rFonts w:hint="eastAsia" w:ascii="宋体" w:hAnsi="宋体" w:cs="Arial"/>
          <w:b/>
          <w:bCs/>
          <w:color w:val="auto"/>
          <w:sz w:val="24"/>
          <w:szCs w:val="24"/>
          <w:lang w:eastAsia="zh-CN"/>
        </w:rPr>
        <w:t>价格评审（</w:t>
      </w:r>
      <w:r>
        <w:rPr>
          <w:rFonts w:hint="eastAsia" w:ascii="宋体" w:hAnsi="宋体" w:cs="Arial"/>
          <w:b/>
          <w:bCs/>
          <w:color w:val="auto"/>
          <w:sz w:val="24"/>
          <w:szCs w:val="24"/>
          <w:lang w:val="en-US" w:eastAsia="zh-CN"/>
        </w:rPr>
        <w:t>10分</w:t>
      </w:r>
      <w:r>
        <w:rPr>
          <w:rFonts w:hint="eastAsia" w:ascii="宋体" w:hAnsi="宋体" w:cs="Arial"/>
          <w:b/>
          <w:bCs/>
          <w:color w:val="auto"/>
          <w:sz w:val="24"/>
          <w:szCs w:val="24"/>
          <w:lang w:eastAsia="zh-CN"/>
        </w:rPr>
        <w:t>）</w:t>
      </w:r>
    </w:p>
    <w:p>
      <w:pPr>
        <w:snapToGrid w:val="0"/>
        <w:spacing w:before="60" w:line="360" w:lineRule="auto"/>
        <w:ind w:left="533" w:leftChars="199" w:right="-105" w:rightChars="-50" w:hanging="115" w:hangingChars="55"/>
        <w:rPr>
          <w:rFonts w:hint="eastAsia" w:ascii="宋体" w:hAnsi="宋体" w:cs="Arial"/>
          <w:color w:val="auto"/>
          <w:szCs w:val="21"/>
        </w:rPr>
      </w:pPr>
      <w:r>
        <w:rPr>
          <w:rFonts w:hint="eastAsia" w:ascii="宋体" w:hAnsi="宋体" w:cs="Arial"/>
          <w:color w:val="auto"/>
          <w:szCs w:val="21"/>
        </w:rPr>
        <w:t>1. 价格核准：</w:t>
      </w:r>
    </w:p>
    <w:p>
      <w:pPr>
        <w:snapToGrid w:val="0"/>
        <w:spacing w:before="60" w:line="360" w:lineRule="auto"/>
        <w:ind w:left="741" w:leftChars="199" w:right="-105" w:rightChars="-50" w:hanging="323" w:hangingChars="154"/>
        <w:rPr>
          <w:rFonts w:hint="eastAsia" w:ascii="宋体" w:hAnsi="宋体" w:cs="Arial"/>
          <w:color w:val="auto"/>
          <w:szCs w:val="21"/>
        </w:rPr>
      </w:pPr>
      <w:r>
        <w:rPr>
          <w:rFonts w:hint="eastAsia" w:ascii="宋体" w:hAnsi="宋体" w:cs="Arial"/>
          <w:color w:val="auto"/>
          <w:szCs w:val="21"/>
        </w:rPr>
        <w:t>1.1评标委员会详细分析、核准价格表，检查其是否存在计算上或累加上的算术错误，修正错误的原则如下：</w:t>
      </w:r>
    </w:p>
    <w:p>
      <w:pPr>
        <w:snapToGrid w:val="0"/>
        <w:spacing w:before="60" w:line="360" w:lineRule="auto"/>
        <w:ind w:left="628" w:leftChars="299" w:right="-105" w:rightChars="-50" w:firstLine="92" w:firstLineChars="44"/>
        <w:rPr>
          <w:rFonts w:hint="eastAsia" w:ascii="宋体" w:hAnsi="宋体" w:cs="Arial"/>
          <w:color w:val="auto"/>
          <w:szCs w:val="21"/>
        </w:rPr>
      </w:pPr>
      <w:r>
        <w:rPr>
          <w:rFonts w:hint="eastAsia" w:ascii="宋体" w:hAnsi="宋体" w:cs="Arial"/>
          <w:color w:val="auto"/>
          <w:szCs w:val="21"/>
        </w:rPr>
        <w:t xml:space="preserve">①响应文件中的大写金额和小写金额不一致的，以大写金额为准； </w:t>
      </w:r>
    </w:p>
    <w:p>
      <w:pPr>
        <w:snapToGrid w:val="0"/>
        <w:spacing w:before="60" w:line="360" w:lineRule="auto"/>
        <w:ind w:left="955" w:leftChars="399" w:right="-105" w:rightChars="-50" w:hanging="117" w:hangingChars="56"/>
        <w:rPr>
          <w:rFonts w:hint="eastAsia" w:ascii="宋体" w:hAnsi="宋体" w:cs="Arial"/>
          <w:color w:val="auto"/>
          <w:szCs w:val="21"/>
        </w:rPr>
      </w:pPr>
      <w:r>
        <w:rPr>
          <w:rFonts w:hint="eastAsia" w:ascii="宋体" w:hAnsi="宋体" w:cs="Arial"/>
          <w:color w:val="auto"/>
          <w:szCs w:val="21"/>
        </w:rPr>
        <w:t xml:space="preserve">②总价金额与按单价汇总金额不一致的，以单价金额计算结果为准；单价金额小数点有明显错位的，应以总价为准，并修改单价； </w:t>
      </w:r>
    </w:p>
    <w:p>
      <w:pPr>
        <w:snapToGrid w:val="0"/>
        <w:spacing w:before="60" w:line="360" w:lineRule="auto"/>
        <w:ind w:left="628" w:leftChars="299" w:right="-105" w:rightChars="-50" w:firstLine="92" w:firstLineChars="44"/>
        <w:rPr>
          <w:rFonts w:hint="eastAsia" w:ascii="宋体" w:hAnsi="宋体" w:cs="Arial"/>
          <w:color w:val="auto"/>
          <w:szCs w:val="21"/>
        </w:rPr>
      </w:pPr>
      <w:r>
        <w:rPr>
          <w:rFonts w:hint="eastAsia" w:ascii="宋体" w:hAnsi="宋体" w:cs="Arial"/>
          <w:color w:val="auto"/>
          <w:szCs w:val="21"/>
        </w:rPr>
        <w:t xml:space="preserve">③对不同文字文本响应文件的解释发生异议的，以中文文本为准； </w:t>
      </w:r>
    </w:p>
    <w:p>
      <w:pPr>
        <w:snapToGrid w:val="0"/>
        <w:spacing w:before="60" w:line="360" w:lineRule="auto"/>
        <w:ind w:left="838" w:leftChars="399" w:right="-105" w:rightChars="-50" w:firstLine="92" w:firstLineChars="44"/>
        <w:rPr>
          <w:rFonts w:hint="eastAsia" w:ascii="宋体" w:hAnsi="宋体" w:cs="Arial"/>
          <w:color w:val="auto"/>
          <w:szCs w:val="21"/>
        </w:rPr>
      </w:pPr>
      <w:r>
        <w:rPr>
          <w:rFonts w:hint="eastAsia" w:ascii="宋体" w:hAnsi="宋体" w:cs="Arial"/>
          <w:color w:val="auto"/>
          <w:szCs w:val="21"/>
        </w:rPr>
        <w:t>磋商小组按上述修正误差的原则调整的价格对其响应供应商具有约束力。如果响应供应商不接受修正后的价格，其报价将被拒绝。</w:t>
      </w:r>
    </w:p>
    <w:p>
      <w:pPr>
        <w:snapToGrid w:val="0"/>
        <w:spacing w:before="60" w:line="360" w:lineRule="auto"/>
        <w:ind w:left="533" w:leftChars="199" w:right="-105" w:rightChars="-50" w:hanging="115" w:hangingChars="55"/>
        <w:rPr>
          <w:rFonts w:hint="eastAsia" w:ascii="宋体" w:hAnsi="宋体" w:cs="Arial"/>
          <w:color w:val="auto"/>
          <w:szCs w:val="21"/>
        </w:rPr>
      </w:pPr>
      <w:r>
        <w:rPr>
          <w:rFonts w:hint="eastAsia" w:ascii="宋体" w:hAnsi="宋体" w:cs="Arial"/>
          <w:color w:val="auto"/>
          <w:szCs w:val="21"/>
        </w:rPr>
        <w:t>1.2按下列第 3点小型和微型企业产品价格进行价格扣除。</w:t>
      </w:r>
    </w:p>
    <w:p>
      <w:pPr>
        <w:snapToGrid w:val="0"/>
        <w:spacing w:before="60" w:line="360" w:lineRule="auto"/>
        <w:ind w:left="741" w:leftChars="199" w:right="-105" w:rightChars="-50" w:hanging="323" w:hangingChars="154"/>
        <w:rPr>
          <w:rFonts w:hint="eastAsia" w:ascii="宋体" w:hAnsi="宋体" w:cs="Arial"/>
          <w:color w:val="auto"/>
          <w:szCs w:val="21"/>
        </w:rPr>
      </w:pPr>
      <w:r>
        <w:rPr>
          <w:rFonts w:hint="eastAsia" w:ascii="宋体" w:hAnsi="宋体" w:cs="Arial"/>
          <w:color w:val="auto"/>
          <w:szCs w:val="21"/>
        </w:rPr>
        <w:t>2. 综合评分法中的价格分统一采用低价优先法计算，即满足招标文件要求（通过资格性、符合性审查）且投标价格最低的有效投标报价（指价格核准后的价格，下同）为评标基准价，其价格分为满分。其他响应供应商的价格分统一按照下列公式计算：</w:t>
      </w:r>
    </w:p>
    <w:p>
      <w:pPr>
        <w:snapToGrid w:val="0"/>
        <w:spacing w:before="60" w:line="360" w:lineRule="auto"/>
        <w:ind w:right="-105" w:rightChars="-50" w:firstLine="843" w:firstLineChars="400"/>
        <w:rPr>
          <w:rFonts w:hint="eastAsia" w:ascii="宋体" w:hAnsi="宋体" w:cs="Arial"/>
          <w:b/>
          <w:bCs/>
          <w:color w:val="auto"/>
          <w:szCs w:val="21"/>
        </w:rPr>
      </w:pPr>
      <w:r>
        <w:rPr>
          <w:rFonts w:hint="eastAsia" w:ascii="宋体" w:hAnsi="宋体" w:cs="Arial"/>
          <w:b/>
          <w:bCs/>
          <w:color w:val="auto"/>
          <w:szCs w:val="21"/>
        </w:rPr>
        <w:t>投标报价得分=(评标基准价/投标报价)×价格权值×100</w:t>
      </w:r>
    </w:p>
    <w:p>
      <w:pPr>
        <w:snapToGrid w:val="0"/>
        <w:spacing w:before="60" w:line="360" w:lineRule="auto"/>
        <w:ind w:left="628" w:leftChars="299" w:right="-105" w:rightChars="-50" w:firstLine="92" w:firstLineChars="44"/>
        <w:rPr>
          <w:rFonts w:hint="eastAsia" w:ascii="宋体" w:hAnsi="宋体" w:cs="Arial"/>
          <w:color w:val="auto"/>
          <w:szCs w:val="21"/>
        </w:rPr>
      </w:pPr>
      <w:r>
        <w:rPr>
          <w:rFonts w:hint="eastAsia" w:ascii="宋体" w:hAnsi="宋体" w:cs="Arial"/>
          <w:color w:val="auto"/>
          <w:szCs w:val="21"/>
        </w:rPr>
        <w:t>备注：投标报价得分四舍五入后，小数点后保留两位有效数；</w:t>
      </w:r>
    </w:p>
    <w:p>
      <w:pPr>
        <w:snapToGrid w:val="0"/>
        <w:spacing w:before="60" w:line="360" w:lineRule="auto"/>
        <w:ind w:left="533" w:leftChars="199" w:right="-105" w:rightChars="-50" w:hanging="115" w:hangingChars="55"/>
        <w:rPr>
          <w:rFonts w:hint="eastAsia" w:ascii="宋体" w:hAnsi="宋体" w:cs="Arial"/>
          <w:color w:val="auto"/>
          <w:szCs w:val="21"/>
        </w:rPr>
      </w:pPr>
      <w:r>
        <w:rPr>
          <w:rFonts w:hint="eastAsia" w:ascii="宋体" w:hAnsi="宋体" w:cs="Arial"/>
          <w:color w:val="auto"/>
          <w:szCs w:val="21"/>
        </w:rPr>
        <w:t>3. 小型和微型企业产品价格扣除</w:t>
      </w:r>
    </w:p>
    <w:p>
      <w:pPr>
        <w:snapToGrid w:val="0"/>
        <w:spacing w:before="60" w:line="360" w:lineRule="auto"/>
        <w:ind w:left="741" w:leftChars="199" w:right="-105" w:rightChars="-50" w:hanging="323" w:hangingChars="154"/>
        <w:rPr>
          <w:rFonts w:hint="eastAsia" w:ascii="宋体" w:hAnsi="宋体" w:cs="Arial"/>
          <w:color w:val="auto"/>
          <w:szCs w:val="21"/>
        </w:rPr>
      </w:pPr>
      <w:r>
        <w:rPr>
          <w:rFonts w:hint="eastAsia" w:ascii="宋体" w:hAnsi="宋体" w:cs="Arial"/>
          <w:color w:val="auto"/>
          <w:szCs w:val="21"/>
        </w:rPr>
        <w:t>3.1根据财政部、工业和信息化部印发的《政府采购促进中小企业发展暂行办法》（财库[2011]181号）的规定，对小型和微型企业产品的价格给予 6%的扣除，用扣除后的价格参与评审；投标产品中仅有部分小型和微型企业产品的，则此部分按所投小型和微型企业产品的价格予以扣除。</w:t>
      </w:r>
    </w:p>
    <w:p>
      <w:pPr>
        <w:snapToGrid w:val="0"/>
        <w:spacing w:before="60" w:line="360" w:lineRule="auto"/>
        <w:ind w:left="741" w:leftChars="199" w:right="-105" w:rightChars="-50" w:hanging="323" w:hangingChars="154"/>
        <w:rPr>
          <w:rFonts w:hint="eastAsia" w:ascii="宋体" w:hAnsi="宋体" w:cs="Arial"/>
          <w:color w:val="auto"/>
          <w:szCs w:val="21"/>
        </w:rPr>
      </w:pPr>
      <w:r>
        <w:rPr>
          <w:rFonts w:hint="eastAsia" w:ascii="宋体" w:hAnsi="宋体" w:cs="Arial"/>
          <w:color w:val="auto"/>
          <w:szCs w:val="21"/>
        </w:rPr>
        <w:t>3.2《政府采购促进中小企业发展暂行办法》所称中小企业（含中型、小型、微型企业，下同）应当同时符合以下条件：</w:t>
      </w:r>
    </w:p>
    <w:p>
      <w:pPr>
        <w:snapToGrid w:val="0"/>
        <w:spacing w:before="60" w:line="360" w:lineRule="auto"/>
        <w:ind w:left="533" w:leftChars="199" w:right="-105" w:rightChars="-50" w:hanging="115" w:hangingChars="55"/>
        <w:rPr>
          <w:rFonts w:hint="eastAsia" w:ascii="宋体" w:hAnsi="宋体" w:cs="Arial"/>
          <w:color w:val="auto"/>
          <w:szCs w:val="21"/>
        </w:rPr>
      </w:pPr>
      <w:r>
        <w:rPr>
          <w:rFonts w:hint="eastAsia" w:ascii="宋体" w:hAnsi="宋体" w:cs="Arial"/>
          <w:color w:val="auto"/>
          <w:szCs w:val="21"/>
        </w:rPr>
        <w:t>3.2.1符合中小企业划分标准；</w:t>
      </w:r>
    </w:p>
    <w:p>
      <w:pPr>
        <w:snapToGrid w:val="0"/>
        <w:spacing w:before="60" w:line="360" w:lineRule="auto"/>
        <w:ind w:left="949" w:leftChars="199" w:right="-105" w:rightChars="-50" w:hanging="531" w:hangingChars="253"/>
        <w:rPr>
          <w:rFonts w:hint="eastAsia" w:ascii="宋体" w:hAnsi="宋体" w:cs="Arial"/>
          <w:color w:val="auto"/>
          <w:szCs w:val="21"/>
        </w:rPr>
      </w:pPr>
      <w:r>
        <w:rPr>
          <w:rFonts w:hint="eastAsia" w:ascii="宋体" w:hAnsi="宋体" w:cs="Arial"/>
          <w:color w:val="auto"/>
          <w:szCs w:val="21"/>
        </w:rPr>
        <w:t>3.2.2提供本企业制造的货物、承担的工程或者服务，或者提供其他中小企业制造的货物。本项所称货物不包括使用大型企业注册商标的货物。</w:t>
      </w:r>
    </w:p>
    <w:p>
      <w:pPr>
        <w:snapToGrid w:val="0"/>
        <w:spacing w:before="60" w:line="360" w:lineRule="auto"/>
        <w:ind w:left="628" w:leftChars="299" w:right="-105" w:rightChars="-50" w:firstLine="92" w:firstLineChars="44"/>
        <w:rPr>
          <w:rFonts w:hint="eastAsia" w:ascii="宋体" w:hAnsi="宋体" w:cs="Arial"/>
          <w:color w:val="auto"/>
          <w:szCs w:val="21"/>
        </w:rPr>
      </w:pPr>
      <w:r>
        <w:rPr>
          <w:rFonts w:hint="eastAsia" w:ascii="宋体" w:hAnsi="宋体" w:cs="Arial"/>
          <w:color w:val="auto"/>
          <w:szCs w:val="21"/>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snapToGrid w:val="0"/>
        <w:spacing w:before="60" w:line="360" w:lineRule="auto"/>
        <w:ind w:left="630" w:leftChars="200" w:right="-105" w:rightChars="-50" w:hanging="210" w:hangingChars="100"/>
        <w:rPr>
          <w:rFonts w:hint="eastAsia" w:ascii="宋体" w:hAnsi="宋体" w:cs="Arial"/>
          <w:color w:val="auto"/>
          <w:szCs w:val="21"/>
        </w:rPr>
      </w:pPr>
      <w:r>
        <w:rPr>
          <w:rFonts w:hint="eastAsia" w:ascii="宋体" w:hAnsi="宋体" w:cs="Arial"/>
          <w:color w:val="auto"/>
          <w:szCs w:val="21"/>
        </w:rPr>
        <w:t>3.3参加政府采购活动的中小企业应当提供《中小企业声明函》（格式见第六章响应文件格式），如响应供应商为非制造商，其代理产品的制造商也应同时提交《中小企业声明函》，否则评审时不能享受相应的价格扣除。</w:t>
      </w:r>
    </w:p>
    <w:p>
      <w:pPr>
        <w:snapToGrid w:val="0"/>
        <w:spacing w:before="60" w:line="360" w:lineRule="auto"/>
        <w:ind w:left="533" w:leftChars="199" w:right="-105" w:rightChars="-50" w:hanging="115" w:hangingChars="55"/>
        <w:rPr>
          <w:rFonts w:hint="eastAsia" w:ascii="宋体" w:hAnsi="宋体" w:cs="Arial"/>
          <w:color w:val="auto"/>
          <w:szCs w:val="21"/>
        </w:rPr>
      </w:pPr>
      <w:r>
        <w:rPr>
          <w:rFonts w:hint="eastAsia" w:ascii="宋体" w:hAnsi="宋体" w:cs="Arial"/>
          <w:color w:val="auto"/>
          <w:szCs w:val="21"/>
        </w:rPr>
        <w:t>3.4监狱企业视同小型、微型企业，享受评审中价格扣除。</w:t>
      </w:r>
    </w:p>
    <w:p>
      <w:pPr>
        <w:snapToGrid w:val="0"/>
        <w:spacing w:before="60" w:line="360" w:lineRule="auto"/>
        <w:ind w:left="741" w:leftChars="199" w:right="-105" w:rightChars="-50" w:hanging="323" w:hangingChars="154"/>
        <w:rPr>
          <w:rFonts w:hint="eastAsia" w:ascii="宋体" w:hAnsi="宋体" w:cs="Arial"/>
          <w:color w:val="auto"/>
          <w:szCs w:val="21"/>
        </w:rPr>
      </w:pPr>
      <w:r>
        <w:rPr>
          <w:rFonts w:hint="eastAsia" w:ascii="宋体" w:hAnsi="宋体" w:cs="Arial"/>
          <w:color w:val="auto"/>
          <w:szCs w:val="21"/>
        </w:rPr>
        <w:t>3.4.1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60" w:line="360" w:lineRule="auto"/>
        <w:ind w:left="741" w:leftChars="199" w:right="-105" w:rightChars="-50" w:hanging="323" w:hangingChars="154"/>
        <w:rPr>
          <w:rFonts w:hint="eastAsia" w:ascii="宋体" w:hAnsi="宋体" w:cs="Arial"/>
          <w:color w:val="auto"/>
          <w:szCs w:val="21"/>
        </w:rPr>
      </w:pPr>
      <w:r>
        <w:rPr>
          <w:rFonts w:hint="eastAsia" w:ascii="宋体" w:hAnsi="宋体" w:cs="Arial"/>
          <w:color w:val="auto"/>
          <w:szCs w:val="21"/>
        </w:rPr>
        <w:t>3.4.2监狱企业参加政府采购活动时，应当提供由省级以上监狱管理局、戒毒管理局（含新疆生产建设兵团）出具的属于监狱企业的证明文件，否则不予认可。</w:t>
      </w:r>
    </w:p>
    <w:p>
      <w:pPr>
        <w:snapToGrid w:val="0"/>
        <w:spacing w:before="60" w:line="360" w:lineRule="auto"/>
        <w:ind w:left="741" w:leftChars="199" w:right="-105" w:rightChars="-50" w:hanging="323" w:hangingChars="154"/>
        <w:rPr>
          <w:rFonts w:hint="eastAsia" w:ascii="宋体" w:hAnsi="宋体" w:cs="Arial"/>
          <w:color w:val="auto"/>
          <w:szCs w:val="21"/>
        </w:rPr>
      </w:pPr>
      <w:r>
        <w:rPr>
          <w:rFonts w:hint="eastAsia" w:ascii="宋体" w:hAnsi="宋体" w:cs="Arial"/>
          <w:color w:val="auto"/>
          <w:szCs w:val="21"/>
        </w:rPr>
        <w:t>3.5响应供应商同时为小型、微型企业和监狱企业的，评审中只享受一次价格扣除。不重复进行价格扣除。</w:t>
      </w:r>
    </w:p>
    <w:p>
      <w:pPr>
        <w:spacing w:line="360" w:lineRule="auto"/>
        <w:jc w:val="both"/>
        <w:rPr>
          <w:rFonts w:ascii="宋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pStyle w:val="2"/>
        <w:rPr>
          <w:rFonts w:hint="eastAsia" w:ascii="黑体" w:eastAsia="黑体"/>
          <w:b/>
          <w:color w:val="auto"/>
          <w:sz w:val="44"/>
        </w:rPr>
      </w:pPr>
    </w:p>
    <w:p>
      <w:pPr>
        <w:rPr>
          <w:rFonts w:hint="eastAsia" w:ascii="黑体" w:eastAsia="黑体"/>
          <w:b/>
          <w:color w:val="auto"/>
          <w:sz w:val="44"/>
        </w:rPr>
      </w:pPr>
    </w:p>
    <w:p>
      <w:pPr>
        <w:pStyle w:val="2"/>
        <w:rPr>
          <w:rFonts w:hint="eastAsia" w:ascii="黑体" w:eastAsia="黑体"/>
          <w:b/>
          <w:color w:val="auto"/>
          <w:sz w:val="44"/>
        </w:rPr>
      </w:pPr>
    </w:p>
    <w:p>
      <w:pPr>
        <w:rPr>
          <w:rFonts w:hint="eastAsia" w:ascii="黑体" w:eastAsia="黑体"/>
          <w:b/>
          <w:color w:val="auto"/>
          <w:sz w:val="44"/>
        </w:rPr>
      </w:pPr>
    </w:p>
    <w:p>
      <w:pPr>
        <w:pStyle w:val="2"/>
        <w:rPr>
          <w:rFonts w:hint="eastAsia" w:ascii="黑体" w:eastAsia="黑体"/>
          <w:b/>
          <w:color w:val="auto"/>
          <w:sz w:val="44"/>
        </w:rPr>
      </w:pPr>
    </w:p>
    <w:p>
      <w:pPr>
        <w:rPr>
          <w:rFonts w:hint="eastAsia" w:ascii="黑体" w:eastAsia="黑体"/>
          <w:b/>
          <w:color w:val="auto"/>
          <w:sz w:val="44"/>
        </w:rPr>
      </w:pPr>
    </w:p>
    <w:p>
      <w:pPr>
        <w:pStyle w:val="2"/>
        <w:rPr>
          <w:rFonts w:hint="eastAsia" w:ascii="黑体" w:eastAsia="黑体"/>
          <w:b/>
          <w:color w:val="auto"/>
          <w:sz w:val="44"/>
        </w:rPr>
      </w:pPr>
    </w:p>
    <w:p>
      <w:pPr>
        <w:rPr>
          <w:rFonts w:hint="eastAsia" w:ascii="黑体" w:eastAsia="黑体"/>
          <w:b/>
          <w:color w:val="auto"/>
          <w:sz w:val="44"/>
        </w:rPr>
      </w:pPr>
    </w:p>
    <w:p>
      <w:pPr>
        <w:pStyle w:val="2"/>
        <w:rPr>
          <w:rFonts w:hint="eastAsia" w:ascii="黑体" w:eastAsia="黑体"/>
          <w:b/>
          <w:color w:val="auto"/>
          <w:sz w:val="44"/>
        </w:rPr>
      </w:pPr>
    </w:p>
    <w:p>
      <w:pPr>
        <w:rPr>
          <w:rFonts w:hint="eastAsia" w:ascii="黑体" w:eastAsia="黑体"/>
          <w:b/>
          <w:color w:val="auto"/>
          <w:sz w:val="44"/>
        </w:rPr>
      </w:pPr>
    </w:p>
    <w:p>
      <w:pPr>
        <w:rPr>
          <w:rFonts w:hint="eastAsia" w:ascii="黑体" w:eastAsia="黑体"/>
          <w:b/>
          <w:color w:val="auto"/>
          <w:sz w:val="44"/>
        </w:rPr>
      </w:pPr>
    </w:p>
    <w:p>
      <w:pPr>
        <w:pStyle w:val="2"/>
        <w:rPr>
          <w:rFonts w:hint="eastAsia"/>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ascii="黑体" w:eastAsia="黑体"/>
          <w:b/>
          <w:bCs w:val="0"/>
          <w:color w:val="auto"/>
          <w:sz w:val="44"/>
        </w:rPr>
      </w:pPr>
      <w:r>
        <w:rPr>
          <w:rFonts w:hint="eastAsia" w:ascii="黑体" w:eastAsia="黑体"/>
          <w:b/>
          <w:bCs w:val="0"/>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rPr>
          <w:rFonts w:hint="eastAsia" w:ascii="宋体" w:hAnsi="宋体" w:eastAsia="宋体" w:cs="宋体"/>
          <w:b w:val="0"/>
          <w:spacing w:val="16"/>
          <w:kern w:val="44"/>
          <w:sz w:val="44"/>
          <w:szCs w:val="44"/>
        </w:rPr>
        <w:sectPr>
          <w:headerReference r:id="rId14" w:type="default"/>
          <w:footerReference r:id="rId15" w:type="default"/>
          <w:pgSz w:w="11906" w:h="16838"/>
          <w:pgMar w:top="1440" w:right="1800" w:bottom="1440" w:left="1800" w:header="0" w:footer="1115" w:gutter="0"/>
          <w:pgNumType w:fmt="decimal"/>
          <w:cols w:space="720" w:num="1"/>
          <w:docGrid w:type="lines" w:linePitch="312" w:charSpace="0"/>
        </w:sectPr>
      </w:pPr>
      <w:bookmarkStart w:id="5" w:name="_Toc31799"/>
      <w:bookmarkEnd w:id="5"/>
    </w:p>
    <w:p>
      <w:pPr>
        <w:pStyle w:val="3"/>
        <w:pageBreakBefore w:val="0"/>
        <w:widowControl/>
        <w:numPr>
          <w:ilvl w:val="0"/>
          <w:numId w:val="17"/>
        </w:numPr>
        <w:kinsoku/>
        <w:wordWrap/>
        <w:overflowPunct/>
        <w:topLinePunct w:val="0"/>
        <w:autoSpaceDE/>
        <w:autoSpaceDN/>
        <w:bidi w:val="0"/>
        <w:adjustRightInd/>
        <w:snapToGrid/>
        <w:spacing w:line="360" w:lineRule="auto"/>
        <w:textAlignment w:val="auto"/>
        <w:rPr>
          <w:rFonts w:hint="eastAsia" w:ascii="宋体" w:hAnsi="宋体" w:eastAsia="宋体" w:cs="宋体"/>
          <w:b/>
          <w:bCs w:val="0"/>
          <w:spacing w:val="16"/>
          <w:kern w:val="44"/>
          <w:sz w:val="24"/>
          <w:szCs w:val="24"/>
        </w:rPr>
      </w:pPr>
      <w:bookmarkStart w:id="6" w:name="_Toc29194"/>
      <w:bookmarkEnd w:id="6"/>
      <w:r>
        <w:rPr>
          <w:rFonts w:hint="eastAsia" w:ascii="宋体" w:hAnsi="宋体" w:eastAsia="宋体" w:cs="宋体"/>
          <w:b/>
          <w:bCs w:val="0"/>
          <w:spacing w:val="16"/>
          <w:kern w:val="44"/>
          <w:sz w:val="24"/>
          <w:szCs w:val="24"/>
        </w:rPr>
        <w:t>项目简介</w:t>
      </w:r>
    </w:p>
    <w:p>
      <w:pPr>
        <w:pStyle w:val="4"/>
        <w:pageBreakBefore w:val="0"/>
        <w:widowControl/>
        <w:numPr>
          <w:ilvl w:val="1"/>
          <w:numId w:val="17"/>
        </w:numPr>
        <w:kinsoku/>
        <w:wordWrap/>
        <w:overflowPunct/>
        <w:topLinePunct w:val="0"/>
        <w:autoSpaceDE/>
        <w:autoSpaceDN/>
        <w:bidi w:val="0"/>
        <w:adjustRightInd/>
        <w:snapToGrid/>
        <w:spacing w:line="360" w:lineRule="auto"/>
        <w:textAlignment w:val="auto"/>
        <w:rPr>
          <w:rFonts w:hint="eastAsia" w:ascii="宋体" w:hAnsi="宋体" w:eastAsia="宋体" w:cs="宋体"/>
          <w:b/>
          <w:spacing w:val="16"/>
          <w:kern w:val="2"/>
          <w:sz w:val="21"/>
          <w:szCs w:val="21"/>
        </w:rPr>
      </w:pPr>
      <w:bookmarkStart w:id="7" w:name="_Toc15765"/>
      <w:bookmarkEnd w:id="7"/>
      <w:r>
        <w:rPr>
          <w:rFonts w:hint="eastAsia" w:ascii="宋体" w:hAnsi="宋体" w:eastAsia="宋体" w:cs="宋体"/>
          <w:b/>
          <w:spacing w:val="16"/>
          <w:kern w:val="2"/>
          <w:sz w:val="21"/>
          <w:szCs w:val="21"/>
        </w:rPr>
        <w:t>项目背景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60" w:firstLineChars="200"/>
        <w:jc w:val="both"/>
        <w:textAlignment w:val="auto"/>
        <w:rPr>
          <w:rFonts w:hint="eastAsia" w:ascii="宋体" w:hAnsi="宋体" w:eastAsia="宋体" w:cs="宋体"/>
          <w:spacing w:val="10"/>
          <w:kern w:val="2"/>
          <w:sz w:val="21"/>
          <w:szCs w:val="21"/>
        </w:rPr>
      </w:pPr>
      <w:r>
        <w:rPr>
          <w:rFonts w:hint="eastAsia" w:ascii="宋体" w:hAnsi="宋体" w:eastAsia="宋体" w:cs="宋体"/>
          <w:spacing w:val="10"/>
          <w:kern w:val="2"/>
          <w:sz w:val="21"/>
          <w:szCs w:val="21"/>
          <w:lang w:val="en-US" w:eastAsia="zh-CN" w:bidi="ar"/>
        </w:rPr>
        <w:t>近年来，中国坚持贯彻科学发展观，树立尊重自然、顺应自然、保护自然的生态文明理念和“既要经济崛起，又要蓝天碧水”的科学发展理念，充分发挥森林资源优势，建设湿地公园，创新林业发展平台，转变林业资源的管理模式，推动传统林业面向现代林业转型升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60" w:firstLineChars="200"/>
        <w:jc w:val="both"/>
        <w:textAlignment w:val="auto"/>
        <w:rPr>
          <w:rFonts w:hint="eastAsia" w:ascii="宋体" w:hAnsi="宋体" w:eastAsia="宋体" w:cs="宋体"/>
          <w:spacing w:val="10"/>
          <w:kern w:val="2"/>
          <w:sz w:val="21"/>
          <w:szCs w:val="21"/>
        </w:rPr>
      </w:pPr>
      <w:r>
        <w:rPr>
          <w:rFonts w:hint="eastAsia" w:ascii="宋体" w:hAnsi="宋体" w:eastAsia="宋体" w:cs="宋体"/>
          <w:spacing w:val="10"/>
          <w:kern w:val="2"/>
          <w:sz w:val="21"/>
          <w:szCs w:val="21"/>
          <w:lang w:val="en-US" w:eastAsia="zh-CN" w:bidi="ar"/>
        </w:rPr>
        <w:t>广东罗定金银湖国家湿地公园主要位于罗定市生江、罗平两镇辖区内，地处金银河水库、罗定江生江镇和罗平镇河段，属于珠江流域西江水系的河流与库塘复合湿地生态系统。规划总面积1003.19公顷，其中湿地面积约335.78公顷。总体规划将分两期进行，远期（2019-2020年）计划完成湿地保护与恢复工程、湿地保护保育区工程建设项目、科研与监测工程、保护中心楼房等建设，实现湿地生态系统稳定，生物多样性丰富，公园的旅游资源得到充分展示，旅游服务成规模，湿地保护与利用达到相统一的总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60" w:firstLineChars="200"/>
        <w:jc w:val="both"/>
        <w:textAlignment w:val="auto"/>
        <w:rPr>
          <w:rFonts w:hint="eastAsia" w:ascii="宋体" w:hAnsi="宋体" w:eastAsia="宋体" w:cs="宋体"/>
          <w:spacing w:val="10"/>
          <w:kern w:val="2"/>
          <w:sz w:val="21"/>
          <w:szCs w:val="21"/>
        </w:rPr>
      </w:pPr>
      <w:r>
        <w:rPr>
          <w:rFonts w:hint="eastAsia" w:ascii="宋体" w:hAnsi="宋体" w:eastAsia="宋体" w:cs="宋体"/>
          <w:spacing w:val="10"/>
          <w:kern w:val="2"/>
          <w:sz w:val="21"/>
          <w:szCs w:val="21"/>
          <w:lang w:val="en-US" w:eastAsia="zh-CN" w:bidi="ar"/>
        </w:rPr>
        <w:t>广东罗定金银湖国家湿地公园的保护是保障珠江流域水生态安全和生物多样性的需要；是补充和完善珠江流域湿地保护网络体系的需要；是保护罗定市饮用水源地、水源涵养林的需要；是增加市民休闲游憩空间，提升区域竞争力的需要。</w:t>
      </w:r>
    </w:p>
    <w:p>
      <w:pPr>
        <w:pStyle w:val="4"/>
        <w:pageBreakBefore w:val="0"/>
        <w:widowControl/>
        <w:numPr>
          <w:ilvl w:val="1"/>
          <w:numId w:val="17"/>
        </w:numPr>
        <w:kinsoku/>
        <w:wordWrap/>
        <w:overflowPunct/>
        <w:topLinePunct w:val="0"/>
        <w:autoSpaceDE/>
        <w:autoSpaceDN/>
        <w:bidi w:val="0"/>
        <w:adjustRightInd/>
        <w:snapToGrid/>
        <w:spacing w:line="360" w:lineRule="auto"/>
        <w:textAlignment w:val="auto"/>
        <w:rPr>
          <w:rFonts w:hint="eastAsia" w:ascii="宋体" w:hAnsi="宋体" w:eastAsia="宋体" w:cs="宋体"/>
          <w:b/>
          <w:spacing w:val="16"/>
          <w:kern w:val="2"/>
          <w:sz w:val="21"/>
          <w:szCs w:val="21"/>
        </w:rPr>
      </w:pPr>
      <w:bookmarkStart w:id="8" w:name="_Toc26735"/>
      <w:bookmarkEnd w:id="8"/>
      <w:r>
        <w:rPr>
          <w:rFonts w:hint="eastAsia" w:ascii="宋体" w:hAnsi="宋体" w:eastAsia="宋体" w:cs="宋体"/>
          <w:b/>
          <w:spacing w:val="16"/>
          <w:kern w:val="2"/>
          <w:sz w:val="21"/>
          <w:szCs w:val="21"/>
        </w:rPr>
        <w:t>建设目标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spacing w:val="16"/>
          <w:kern w:val="2"/>
          <w:sz w:val="21"/>
          <w:szCs w:val="21"/>
          <w:lang w:val="en-US" w:eastAsia="zh-CN" w:bidi="ar"/>
        </w:rPr>
      </w:pPr>
      <w:r>
        <w:rPr>
          <w:rFonts w:hint="eastAsia" w:ascii="宋体" w:hAnsi="宋体" w:eastAsia="宋体" w:cs="宋体"/>
          <w:spacing w:val="16"/>
          <w:kern w:val="2"/>
          <w:sz w:val="21"/>
          <w:szCs w:val="21"/>
          <w:lang w:val="en-US" w:eastAsia="zh-CN" w:bidi="ar"/>
        </w:rPr>
        <w:t>广东罗定金银湖国家湿地公园科研监测设备采购及在线监测系统集成服务项目建设，以科技手段保护湿地的生态环境，提高自然保护区巡护和监测能力，充沛发扬无人机地面拍摄视野开阔的优势，对水库及周边全方位勘察，引入了水上巡护船对湿地公园进行水上巡护，结合公路上的巡查人员，实现“水陆空”无缝巡查。</w:t>
      </w:r>
    </w:p>
    <w:p>
      <w:pPr>
        <w:pStyle w:val="2"/>
        <w:rPr>
          <w:rFonts w:hint="eastAsia" w:ascii="宋体" w:hAnsi="宋体" w:eastAsia="宋体" w:cs="宋体"/>
          <w:spacing w:val="16"/>
          <w:kern w:val="2"/>
          <w:sz w:val="21"/>
          <w:szCs w:val="21"/>
          <w:lang w:val="en-US" w:eastAsia="zh-CN" w:bidi="ar"/>
        </w:rPr>
      </w:pPr>
    </w:p>
    <w:p>
      <w:pPr>
        <w:rPr>
          <w:rFonts w:hint="eastAsia"/>
        </w:rPr>
      </w:pPr>
    </w:p>
    <w:p>
      <w:pPr>
        <w:pStyle w:val="4"/>
        <w:pageBreakBefore w:val="0"/>
        <w:widowControl/>
        <w:numPr>
          <w:ilvl w:val="1"/>
          <w:numId w:val="17"/>
        </w:numPr>
        <w:kinsoku/>
        <w:wordWrap/>
        <w:overflowPunct/>
        <w:topLinePunct w:val="0"/>
        <w:autoSpaceDE/>
        <w:autoSpaceDN/>
        <w:bidi w:val="0"/>
        <w:adjustRightInd/>
        <w:snapToGrid/>
        <w:spacing w:line="360" w:lineRule="auto"/>
        <w:textAlignment w:val="auto"/>
        <w:rPr>
          <w:rFonts w:hint="eastAsia" w:ascii="宋体" w:hAnsi="宋体" w:eastAsia="宋体" w:cs="宋体"/>
          <w:b/>
          <w:spacing w:val="16"/>
          <w:kern w:val="2"/>
          <w:sz w:val="21"/>
          <w:szCs w:val="21"/>
        </w:rPr>
      </w:pPr>
      <w:bookmarkStart w:id="9" w:name="_Toc13471"/>
      <w:bookmarkEnd w:id="9"/>
      <w:r>
        <w:rPr>
          <w:rFonts w:hint="eastAsia" w:ascii="宋体" w:hAnsi="宋体" w:eastAsia="宋体" w:cs="宋体"/>
          <w:b/>
          <w:spacing w:val="16"/>
          <w:kern w:val="2"/>
          <w:sz w:val="21"/>
          <w:szCs w:val="21"/>
        </w:rPr>
        <w:t>服务期限</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34"/>
        <w:gridCol w:w="1109"/>
        <w:gridCol w:w="3261"/>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9" w:hRule="atLeast"/>
          <w:jc w:val="center"/>
        </w:trPr>
        <w:tc>
          <w:tcPr>
            <w:tcW w:w="2234"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500" w:lineRule="exact"/>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采购内容</w:t>
            </w:r>
          </w:p>
        </w:tc>
        <w:tc>
          <w:tcPr>
            <w:tcW w:w="1109" w:type="dxa"/>
            <w:tcBorders>
              <w:top w:val="single" w:color="auto" w:sz="4" w:space="0"/>
              <w:left w:val="nil"/>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数量</w:t>
            </w:r>
          </w:p>
        </w:tc>
        <w:tc>
          <w:tcPr>
            <w:tcW w:w="3261" w:type="dxa"/>
            <w:tcBorders>
              <w:top w:val="single" w:color="auto" w:sz="4" w:space="0"/>
              <w:left w:val="nil"/>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500" w:lineRule="exact"/>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服务期</w:t>
            </w:r>
          </w:p>
        </w:tc>
        <w:tc>
          <w:tcPr>
            <w:tcW w:w="2718" w:type="dxa"/>
            <w:tcBorders>
              <w:top w:val="single" w:color="auto" w:sz="4" w:space="0"/>
              <w:left w:val="nil"/>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500" w:lineRule="exact"/>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jc w:val="center"/>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广东罗定金银湖国家湿地公园科研监测设备采购及在线监测系统集成服务项目</w:t>
            </w:r>
          </w:p>
        </w:tc>
        <w:tc>
          <w:tcPr>
            <w:tcW w:w="11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1项</w:t>
            </w:r>
          </w:p>
        </w:tc>
        <w:tc>
          <w:tcPr>
            <w:tcW w:w="32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自项目验收合格之日起，产品质量免费保修期2年，系统运营免费服务期2年，系统运营有偿服务期长期。</w:t>
            </w:r>
          </w:p>
        </w:tc>
        <w:tc>
          <w:tcPr>
            <w:tcW w:w="27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人民币：</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￥910,000.00元</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81"/>
        <w:widowControl/>
        <w:ind w:left="0" w:firstLine="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rPr>
          <w:rFonts w:hint="eastAsia" w:ascii="宋体" w:hAnsi="宋体" w:eastAsia="宋体" w:cs="宋体"/>
          <w:b/>
          <w:spacing w:val="16"/>
          <w:kern w:val="44"/>
          <w:sz w:val="44"/>
          <w:szCs w:val="44"/>
        </w:rPr>
        <w:sectPr>
          <w:pgSz w:w="11906" w:h="16838"/>
          <w:pgMar w:top="1440" w:right="1800" w:bottom="1440" w:left="1800" w:header="0" w:footer="1115" w:gutter="0"/>
          <w:pgNumType w:fmt="decimal"/>
          <w:cols w:space="720" w:num="1"/>
          <w:docGrid w:type="lines" w:linePitch="312" w:charSpace="0"/>
        </w:sectPr>
      </w:pPr>
    </w:p>
    <w:p>
      <w:pPr>
        <w:pStyle w:val="3"/>
        <w:widowControl/>
        <w:numPr>
          <w:ilvl w:val="0"/>
          <w:numId w:val="17"/>
        </w:numPr>
        <w:rPr>
          <w:rFonts w:hint="eastAsia" w:ascii="宋体" w:hAnsi="宋体" w:eastAsia="宋体" w:cs="宋体"/>
          <w:b/>
          <w:spacing w:val="16"/>
          <w:kern w:val="44"/>
          <w:sz w:val="24"/>
          <w:szCs w:val="24"/>
        </w:rPr>
      </w:pPr>
      <w:bookmarkStart w:id="10" w:name="_Toc28769"/>
      <w:bookmarkEnd w:id="10"/>
      <w:r>
        <w:rPr>
          <w:rFonts w:hint="eastAsia" w:ascii="宋体" w:hAnsi="宋体" w:eastAsia="宋体" w:cs="宋体"/>
          <w:b/>
          <w:spacing w:val="16"/>
          <w:kern w:val="44"/>
          <w:sz w:val="24"/>
          <w:szCs w:val="24"/>
        </w:rPr>
        <w:t>采购服务需求清单及技术参数</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tbl>
      <w:tblPr>
        <w:tblStyle w:val="27"/>
        <w:tblW w:w="4999" w:type="pct"/>
        <w:tblInd w:w="93" w:type="dxa"/>
        <w:shd w:val="clear" w:color="auto" w:fill="auto"/>
        <w:tblLayout w:type="autofit"/>
        <w:tblCellMar>
          <w:top w:w="0" w:type="dxa"/>
          <w:left w:w="0" w:type="dxa"/>
          <w:bottom w:w="0" w:type="dxa"/>
          <w:right w:w="0" w:type="dxa"/>
        </w:tblCellMar>
      </w:tblPr>
      <w:tblGrid>
        <w:gridCol w:w="920"/>
        <w:gridCol w:w="1317"/>
        <w:gridCol w:w="1765"/>
        <w:gridCol w:w="8136"/>
        <w:gridCol w:w="920"/>
        <w:gridCol w:w="927"/>
      </w:tblGrid>
      <w:tr>
        <w:tblPrEx>
          <w:shd w:val="clear" w:color="auto" w:fill="auto"/>
          <w:tblCellMar>
            <w:top w:w="0" w:type="dxa"/>
            <w:left w:w="0" w:type="dxa"/>
            <w:bottom w:w="0" w:type="dxa"/>
            <w:right w:w="0" w:type="dxa"/>
          </w:tblCellMar>
        </w:tblPrEx>
        <w:trPr>
          <w:trHeight w:val="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序号</w:t>
            </w:r>
          </w:p>
        </w:tc>
        <w:tc>
          <w:tcPr>
            <w:tcW w:w="47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模块</w:t>
            </w: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功能</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具体功能参数</w:t>
            </w:r>
          </w:p>
        </w:tc>
        <w:tc>
          <w:tcPr>
            <w:tcW w:w="32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数量</w:t>
            </w:r>
          </w:p>
        </w:tc>
        <w:tc>
          <w:tcPr>
            <w:tcW w:w="32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单位</w:t>
            </w:r>
          </w:p>
        </w:tc>
      </w:tr>
      <w:tr>
        <w:tblPrEx>
          <w:tblCellMar>
            <w:top w:w="0" w:type="dxa"/>
            <w:left w:w="0" w:type="dxa"/>
            <w:bottom w:w="0" w:type="dxa"/>
            <w:right w:w="0"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一、设备采购</w:t>
            </w:r>
          </w:p>
        </w:tc>
      </w:tr>
      <w:tr>
        <w:tblPrEx>
          <w:tblCellMar>
            <w:top w:w="0" w:type="dxa"/>
            <w:left w:w="0" w:type="dxa"/>
            <w:bottom w:w="0" w:type="dxa"/>
            <w:right w:w="0" w:type="dxa"/>
          </w:tblCellMar>
        </w:tblPrEx>
        <w:trPr>
          <w:trHeight w:val="12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471"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工业级高空喊话无人机</w:t>
            </w: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工业级无人机</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外形尺寸：1668 mm×1518 mm×727 mm;最大通信距离（无干扰、无阻挡）：5 km（FCC 模式），3.5 km（CE 模式）;推荐最大起飞重量：15.5 kg;悬停精度（P-GPS）：垂直：±0.5 m，水平：±1.5 m;最大旋转角速度：俯仰轴：300°/s，航向轴：150°/s;最大俯仰角度：25°;最大上升速度：5 m/s;最大下降速度：3 m/s;最大可承受风速：8 m/s;最大水平飞行速度：65 km/h（无风环境）;悬停时间：38 min；飞控系统：A3</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台</w:t>
            </w:r>
          </w:p>
        </w:tc>
      </w:tr>
      <w:tr>
        <w:tblPrEx>
          <w:tblCellMar>
            <w:top w:w="0" w:type="dxa"/>
            <w:left w:w="0" w:type="dxa"/>
            <w:bottom w:w="0" w:type="dxa"/>
            <w:right w:w="0" w:type="dxa"/>
          </w:tblCellMar>
        </w:tblPrEx>
        <w:trPr>
          <w:trHeight w:val="4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2</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摄像镜头</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5.2K超清画质，适合专业影视制作;M4/3 | 5.2K | F/1.7 - 16 | Adobe CinemaDNG |Apple ProRes | 最大4.2Gbps码流</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个</w:t>
            </w:r>
          </w:p>
        </w:tc>
      </w:tr>
      <w:tr>
        <w:tblPrEx>
          <w:tblCellMar>
            <w:top w:w="0" w:type="dxa"/>
            <w:left w:w="0" w:type="dxa"/>
            <w:bottom w:w="0" w:type="dxa"/>
            <w:right w:w="0" w:type="dxa"/>
          </w:tblCellMar>
        </w:tblPrEx>
        <w:trPr>
          <w:trHeight w:val="14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3</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遙控器</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工作频率:920.6 MHz至928 MHz（日本版）5.725 GHz至5.825 GHz（非日本版）2.400 GHz to 2.483 GHz;最大通信距离（无干扰、无阻挡）:5 km（FCC模式）3.5 km（CE模式）;等效全向辐射功率（EIRP）:10 dBm @ 900 M13 dBm @ 5.8 G20 dBm @ 2.4 G;视频输出接口: HDMI, SDI, USB;协同功能: 支持多机互联;移动设备支架: 平板电脑或手机;工作功耗: 9 W;工作环境温度: -10至40°C;存放环境温度: 存放时间小于3个月：-20至45°C;存放时间大于3个月：22至28°C;充电环境温度: 0至40°C;内置电池: 6000 mAh, 2S LiPo;平板设备最大宽度: 170 mm</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个</w:t>
            </w:r>
          </w:p>
        </w:tc>
      </w:tr>
      <w:tr>
        <w:tblPrEx>
          <w:tblCellMar>
            <w:top w:w="0" w:type="dxa"/>
            <w:left w:w="0" w:type="dxa"/>
            <w:bottom w:w="0" w:type="dxa"/>
            <w:right w:w="0" w:type="dxa"/>
          </w:tblCellMar>
        </w:tblPrEx>
        <w:trPr>
          <w:trHeight w:val="4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4</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控制屏</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尺寸10.2英寸、连接方式内置4G、续航时间最长可达10小时、后置摄像头800w、前置摄像头120W、屏幕类型JDI视网膜屏</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台</w:t>
            </w:r>
          </w:p>
        </w:tc>
      </w:tr>
      <w:tr>
        <w:tblPrEx>
          <w:tblCellMar>
            <w:top w:w="0" w:type="dxa"/>
            <w:left w:w="0" w:type="dxa"/>
            <w:bottom w:w="0" w:type="dxa"/>
            <w:right w:w="0" w:type="dxa"/>
          </w:tblCellMar>
        </w:tblPrEx>
        <w:trPr>
          <w:trHeight w:val="5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5</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六通道并行充电器</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适用遥控器: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Inspire 1 系列遥控器、Matrice 100 遥控器、Matrice 600 遥控器、Lightbridge 2 遥控器、Phantom 4 遥控器、Phantom 3 Professional/Advanced/4K 遥控器、工作环境温度: 0℃至40℃、直流输出:26.1 V; 0 - 3.83 A （电池接口）; 0 - 2 A（遥控器接口）、重量: 2140 g</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个</w:t>
            </w:r>
          </w:p>
        </w:tc>
      </w:tr>
      <w:tr>
        <w:tblPrEx>
          <w:tblCellMar>
            <w:top w:w="0" w:type="dxa"/>
            <w:left w:w="0" w:type="dxa"/>
            <w:bottom w:w="0" w:type="dxa"/>
            <w:right w:w="0" w:type="dxa"/>
          </w:tblCellMar>
        </w:tblPrEx>
        <w:trPr>
          <w:trHeight w:val="9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6</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云台安装架</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支持在该飞行平台上搭载DJI 禅思X3、X5、XT、Z3系列航拍云台相机，提供稳定的高质量影像体验和长达30分钟以上的拍摄时间。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下扩展架底板 × 1;云台连接件 × 4;下扩展架连接件 × 4;X5固定杆 × 1;X5R固定杆 × 2;减震球 × 4;云台姿态线 × 1;云台视频线 × 1;云台安装板 × 1;螺丝包 × 3</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r>
        <w:tblPrEx>
          <w:tblCellMar>
            <w:top w:w="0" w:type="dxa"/>
            <w:left w:w="0" w:type="dxa"/>
            <w:bottom w:w="0" w:type="dxa"/>
            <w:right w:w="0" w:type="dxa"/>
          </w:tblCellMar>
        </w:tblPrEx>
        <w:trPr>
          <w:trHeight w:val="12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7</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智能飞行电池</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容量为 4500mAh、电压为 22.2V、带有充放电管理功能的电池。该电池采用全新的高能电芯，为飞行器提供充沛电力。该电池必须使用 DJI 官方提供的专用充电器或电池管家进行充电。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型号: TB47S;容量: 4500 mAh;电压: 22.2 V;电池类型: LiPo 6S;能量: 99.9 Wh;电池整体重量: 595 g;工作环境温度: -10°C至40°C;存放环境温度: 存放时间小于3个月：-20°C至45°C; 存放时间大于3个月：22°C至28°C;充电环境温度: 0至40°C;最大充电功率: 180 W</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6</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个</w:t>
            </w:r>
          </w:p>
        </w:tc>
      </w:tr>
      <w:tr>
        <w:tblPrEx>
          <w:tblCellMar>
            <w:top w:w="0" w:type="dxa"/>
            <w:left w:w="0" w:type="dxa"/>
            <w:bottom w:w="0" w:type="dxa"/>
            <w:right w:w="0" w:type="dxa"/>
          </w:tblCellMar>
        </w:tblPrEx>
        <w:trPr>
          <w:trHeight w:val="7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8</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无人机喊话器</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音频传输距离： 5km（标配版，可增程到15 公里）；天空端重量：650g；喇叭尺寸：168*153*91mm；扩音器功率：100w（标配版）；扩音距离：100 米外测得 65-75 分贝， 最大 120 分贝；机载端电压：12v-26v（3s--6s 电池</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2</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个</w:t>
            </w:r>
          </w:p>
        </w:tc>
      </w:tr>
      <w:tr>
        <w:tblPrEx>
          <w:tblCellMar>
            <w:top w:w="0" w:type="dxa"/>
            <w:left w:w="0" w:type="dxa"/>
            <w:bottom w:w="0" w:type="dxa"/>
            <w:right w:w="0" w:type="dxa"/>
          </w:tblCellMar>
        </w:tblPrEx>
        <w:trPr>
          <w:trHeight w:val="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9</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安装调试服务</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提供无人机安装与调试服务，将购置的无人机及其配件搭建起来，并进行设备的调式与试飞</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项</w:t>
            </w:r>
          </w:p>
        </w:tc>
      </w:tr>
      <w:tr>
        <w:tblPrEx>
          <w:tblCellMar>
            <w:top w:w="0" w:type="dxa"/>
            <w:left w:w="0" w:type="dxa"/>
            <w:bottom w:w="0" w:type="dxa"/>
            <w:right w:w="0" w:type="dxa"/>
          </w:tblCellMar>
        </w:tblPrEx>
        <w:trPr>
          <w:trHeight w:val="45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10</w:t>
            </w:r>
          </w:p>
        </w:tc>
        <w:tc>
          <w:tcPr>
            <w:tcW w:w="47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培训</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（一）培训意义：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湿地公园运用无人机巡护监测、森林防火、野生动植物保护、宣传教育等优势和成果，逐步实现资源保护科学化、规范化、数字化和天地空一体化，进而为守护庐山的绿水青山保驾护航。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（二）培训内容：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无人机的基础知识和实际操作。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（三）培训方式及课时：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专题讲座与实际操作，培训共设置4节课，分2次完成，每次两节课，每节课90分钟。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（四）培训对象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管理处相关人员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（五）培训目标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1、使学员全面了解多旋翼无人机飞行器飞行安全知识；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2、使学员重点掌握航拍摄影的相关参数设置；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3、使学员重点掌握航拍摄影的基础理论，如取景构图的方法及技巧；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4、使学员全面了解多旋翼无人机飞行器在航拍摄影中的使用技巧；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5、使学员全面了解后期处理软件的使用；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6、使学员重点掌握创造性航拍方法并运用；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7、使学员重点掌握基础的飞行操作与航拍手法，并能独立完成；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（六）培训地点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广东罗定金银湖国家湿地公园。</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项</w:t>
            </w:r>
          </w:p>
        </w:tc>
      </w:tr>
      <w:tr>
        <w:tblPrEx>
          <w:tblCellMar>
            <w:top w:w="0" w:type="dxa"/>
            <w:left w:w="0" w:type="dxa"/>
            <w:bottom w:w="0" w:type="dxa"/>
            <w:right w:w="0" w:type="dxa"/>
          </w:tblCellMar>
        </w:tblPrEx>
        <w:trPr>
          <w:trHeight w:val="14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11</w:t>
            </w:r>
          </w:p>
        </w:tc>
        <w:tc>
          <w:tcPr>
            <w:tcW w:w="47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便携式无人机</w:t>
            </w:r>
          </w:p>
        </w:tc>
        <w:tc>
          <w:tcPr>
            <w:tcW w:w="63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无人机</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采用新一代高清图传，，画质更出色，10-bitDlog-M，记录10亿种色彩，4KHDR视频，所见即所得，2倍光学变焦，取景更方便安全，对焦更快更准，定格精彩瞬间，滑动变焦，更炫酷的视频效果，4800万像素超解析照片，细节更清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2、最大飞行时间31分钟、速度高达72公里/小时，多方向避障。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3、包括飞行器x1、带屏遥控器x1、24WUSB充电器x1、智能飞行电池x2、充电器x1、电源线x1、螺旋桨(对)x3、云台保护罩x1、数据线-USB3.0Type-Cx1、备用摇杆(对)x1、Care随心换服务一年。</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台</w:t>
            </w:r>
          </w:p>
        </w:tc>
      </w:tr>
      <w:tr>
        <w:tblPrEx>
          <w:tblCellMar>
            <w:top w:w="0" w:type="dxa"/>
            <w:left w:w="0" w:type="dxa"/>
            <w:bottom w:w="0" w:type="dxa"/>
            <w:right w:w="0" w:type="dxa"/>
          </w:tblCellMar>
        </w:tblPrEx>
        <w:trPr>
          <w:trHeight w:val="16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13</w:t>
            </w:r>
          </w:p>
        </w:tc>
        <w:tc>
          <w:tcPr>
            <w:tcW w:w="4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科研监测巡护电动船</w:t>
            </w: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主要尺度：</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▲总       长：LOA   9.60m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船       长：L  8.39m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▲船       宽：B 2.70m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型       深：D 1.36m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设 计 吃 水：T 0.58m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满载排水量 ：△  5.94t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▲提供中国船级社颁发的内河C级航区船检证书</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0"/>
                <w:szCs w:val="20"/>
              </w:rPr>
            </w:pP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0"/>
                <w:szCs w:val="20"/>
              </w:rPr>
            </w:pPr>
          </w:p>
        </w:tc>
      </w:tr>
      <w:tr>
        <w:tblPrEx>
          <w:tblCellMar>
            <w:top w:w="0" w:type="dxa"/>
            <w:left w:w="0" w:type="dxa"/>
            <w:bottom w:w="0" w:type="dxa"/>
            <w:right w:w="0" w:type="dxa"/>
          </w:tblCellMar>
        </w:tblPrEx>
        <w:trPr>
          <w:trHeight w:val="26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14</w:t>
            </w:r>
          </w:p>
        </w:tc>
        <w:tc>
          <w:tcPr>
            <w:tcW w:w="4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船体</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船用胶衣:日新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船用树脂: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玻璃纤维布、毡:船用产品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固化剂、颜料:实配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结构泡沫芯材: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普通木材: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普通合板: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铝塑板: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护舷处及加强木材: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辅助材料:胶水、毛刷、螺丝等 1套</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r>
        <w:tblPrEx>
          <w:tblCellMar>
            <w:top w:w="0" w:type="dxa"/>
            <w:left w:w="0" w:type="dxa"/>
            <w:bottom w:w="0" w:type="dxa"/>
            <w:right w:w="0" w:type="dxa"/>
          </w:tblCellMar>
        </w:tblPrEx>
        <w:trPr>
          <w:trHeight w:val="19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15</w:t>
            </w:r>
          </w:p>
        </w:tc>
        <w:tc>
          <w:tcPr>
            <w:tcW w:w="4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轮机部分</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电机:5kw 1台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手动液压舵机:按设计要求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调速器、档位线: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尾轴、舵杆、舵板:不锈钢+船用钢板 2套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螺旋桨:铜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电动舱底泵:FL-1500  60W，带浮子开关 2套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手摇泵:按设计要求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管路、阀件等:按设计要求 1套</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r>
        <w:tblPrEx>
          <w:tblCellMar>
            <w:top w:w="0" w:type="dxa"/>
            <w:left w:w="0" w:type="dxa"/>
            <w:bottom w:w="0" w:type="dxa"/>
            <w:right w:w="0" w:type="dxa"/>
          </w:tblCellMar>
        </w:tblPrEx>
        <w:trPr>
          <w:trHeight w:val="33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16</w:t>
            </w:r>
          </w:p>
        </w:tc>
        <w:tc>
          <w:tcPr>
            <w:tcW w:w="4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电器部分（含电子设备）</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蓄电池:6-Q-150AH 2个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主机电池:12V 20块 ▲CCS认可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直流配电板:满足规范要求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其他开关板、铭牌板:按设计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岸电插座:200-250V  35A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充电器:船检认可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蓝牙播放音响系统:DC80W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舱室风机:AC220V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电喇叭:24V 10A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航行信号灯:满足规范要求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开关、接插件:按设计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电缆、电线:满足规范要求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避雷装置:满足规范要求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探照灯: 1个</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r>
        <w:tblPrEx>
          <w:tblCellMar>
            <w:top w:w="0" w:type="dxa"/>
            <w:left w:w="0" w:type="dxa"/>
            <w:bottom w:w="0" w:type="dxa"/>
            <w:right w:w="0" w:type="dxa"/>
          </w:tblCellMar>
        </w:tblPrEx>
        <w:trPr>
          <w:trHeight w:val="21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17</w:t>
            </w:r>
          </w:p>
        </w:tc>
        <w:tc>
          <w:tcPr>
            <w:tcW w:w="4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舾装部分</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玻璃移窗及铝合金门:钢化玻璃，现配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室内装潢:玻璃钢地板、铝塑板侧壁和吊顶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舱室座椅:玻璃钢皮垫 10座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驾驶椅:玻璃钢皮垫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隔热防火:按设计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栏杆、缆桩、梯子:不锈钢+实木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舱室门及锁具:铝合金、门上带玻璃窗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锚+锚索:满足规范要求 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其他船检小配件:测深锤 1套</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r>
        <w:tblPrEx>
          <w:tblCellMar>
            <w:top w:w="0" w:type="dxa"/>
            <w:left w:w="0" w:type="dxa"/>
            <w:bottom w:w="0" w:type="dxa"/>
            <w:right w:w="0" w:type="dxa"/>
          </w:tblCellMar>
        </w:tblPrEx>
        <w:trPr>
          <w:trHeight w:val="12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18</w:t>
            </w:r>
          </w:p>
        </w:tc>
        <w:tc>
          <w:tcPr>
            <w:tcW w:w="4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63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消防救生设备</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手提式干粉灭火器:干粉，5kg 3个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救生圈:XT555 2个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救生衣:船检证书 20件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太平斧:船用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半圆消防桶:带2m绳子 2个</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r>
        <w:tblPrEx>
          <w:tblCellMar>
            <w:top w:w="0" w:type="dxa"/>
            <w:left w:w="0" w:type="dxa"/>
            <w:bottom w:w="0" w:type="dxa"/>
            <w:right w:w="0" w:type="dxa"/>
          </w:tblCellMar>
        </w:tblPrEx>
        <w:trPr>
          <w:trHeight w:val="12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19</w:t>
            </w:r>
          </w:p>
        </w:tc>
        <w:tc>
          <w:tcPr>
            <w:tcW w:w="110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观光电瓶车</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电机：4000瓦交流电机、控制器：72V智能控制器、续航里程：80-120km、充电机：车载式智能充电器、充电时间：8-10小时（放电率为90%）、充电输入电压：家用220V、长*宽*高：4300*1500*2050mm、整车装备质量：800KG、额定成员：11人、最大行驶速度：30-40km/h、制动距离：≤4m、满载爬坡度：25°、最小离地间隙：180mm、前/后轮距：1230mm、轴距：2060mm、车身结构：钢结构车架+前脸玻璃钢材质+后部金属铁壳、前桥及悬挂：整体式前桥式悬挂、后桥及悬挂：整体式后桥式悬挂</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辆</w:t>
            </w:r>
          </w:p>
        </w:tc>
      </w:tr>
      <w:tr>
        <w:tblPrEx>
          <w:tblCellMar>
            <w:top w:w="0" w:type="dxa"/>
            <w:left w:w="0" w:type="dxa"/>
            <w:bottom w:w="0" w:type="dxa"/>
            <w:right w:w="0" w:type="dxa"/>
          </w:tblCellMar>
        </w:tblPrEx>
        <w:trPr>
          <w:trHeight w:val="14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20</w:t>
            </w:r>
          </w:p>
        </w:tc>
        <w:tc>
          <w:tcPr>
            <w:tcW w:w="110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电动巡逻车</w:t>
            </w:r>
          </w:p>
        </w:tc>
        <w:tc>
          <w:tcPr>
            <w:tcW w:w="290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电机：4000瓦交流电机、控制器：72V智能控制器、电瓶：12V100AH*6、续航里程：80-100km、充电机：车载式智能充电器、充电时间：8-10小时（放电率为90%）、充电输入电压：家用220V、长*宽*高：3300*1650*1900mm、整车装备质量：830KG、额定成员：5人、最大行驶速度：30-40km/h、制动距离：≤4m、满载爬坡度：25°、最小离地间隙：180mm、最小转弯半径：5000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前/后轮距：1420mm/1450mm、轴距：2080mm、车身结构：钢结构车架+汽车冲压半斤、前桥及悬挂：整体式前桥式悬挂、后桥及悬挂：整体式后桥式悬挂</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辆</w:t>
            </w:r>
          </w:p>
        </w:tc>
      </w:tr>
      <w:tr>
        <w:tblPrEx>
          <w:tblCellMar>
            <w:top w:w="0" w:type="dxa"/>
            <w:left w:w="0" w:type="dxa"/>
            <w:bottom w:w="0" w:type="dxa"/>
            <w:right w:w="0" w:type="dxa"/>
          </w:tblCellMar>
        </w:tblPrEx>
        <w:trPr>
          <w:trHeight w:val="720" w:hRule="atLeast"/>
        </w:trPr>
        <w:tc>
          <w:tcPr>
            <w:tcW w:w="32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21</w:t>
            </w:r>
          </w:p>
        </w:tc>
        <w:tc>
          <w:tcPr>
            <w:tcW w:w="1102" w:type="pct"/>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视察用无线扩音器</w:t>
            </w:r>
          </w:p>
        </w:tc>
        <w:tc>
          <w:tcPr>
            <w:tcW w:w="2909"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适用人数：150人、功率：56W、频率设置：可调频16个可选频率、USB： 可进行USB输入播放、内建充电电池：锉电池、电量指示灯：有指示排灯提示电量剩余情况、喇叭：1寸高音，5寸中低音、遥控器：遥控控制声音大小播放曲目等、尺寸：163x206x306毫米、警报：高频率警报声音，2手持话筒</w:t>
            </w:r>
          </w:p>
        </w:tc>
        <w:tc>
          <w:tcPr>
            <w:tcW w:w="329" w:type="pct"/>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3</w:t>
            </w:r>
          </w:p>
        </w:tc>
        <w:tc>
          <w:tcPr>
            <w:tcW w:w="329" w:type="pct"/>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r>
        <w:tblPrEx>
          <w:tblCellMar>
            <w:top w:w="0" w:type="dxa"/>
            <w:left w:w="0" w:type="dxa"/>
            <w:bottom w:w="0" w:type="dxa"/>
            <w:right w:w="0"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二、系统软件要求</w:t>
            </w:r>
          </w:p>
        </w:tc>
      </w:tr>
      <w:tr>
        <w:tblPrEx>
          <w:tblCellMar>
            <w:top w:w="0" w:type="dxa"/>
            <w:left w:w="0" w:type="dxa"/>
            <w:bottom w:w="0" w:type="dxa"/>
            <w:right w:w="0" w:type="dxa"/>
          </w:tblCellMar>
        </w:tblPrEx>
        <w:trPr>
          <w:trHeight w:val="14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1102" w:type="pct"/>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资源监测三维GIS</w:t>
            </w:r>
          </w:p>
        </w:tc>
        <w:tc>
          <w:tcPr>
            <w:tcW w:w="290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依托于无人机的航拍影像，辅以虚拟现实技术（VR），建立基于多源数据融合建模的湿地公园三维立体可视化系统，实现湿地公园自然资源的的三维可视化，有利于提高湿地公园的数字化管理水平、加强湿地资源保护，推动湿地公园公共宣传和生态旅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▲1、支持主流浏览器以B/S模型运行，同时支持三维地图缓存并且实现离线状态下进行独立本地运行，并保证书及证明文件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▲2、三维GIS框架必须为正版，提供正版供货保证书</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r>
        <w:tblPrEx>
          <w:tblCellMar>
            <w:top w:w="0" w:type="dxa"/>
            <w:left w:w="0" w:type="dxa"/>
            <w:bottom w:w="0" w:type="dxa"/>
            <w:right w:w="0" w:type="dxa"/>
          </w:tblCellMar>
        </w:tblPrEx>
        <w:trPr>
          <w:trHeight w:val="720" w:hRule="atLeast"/>
        </w:trPr>
        <w:tc>
          <w:tcPr>
            <w:tcW w:w="32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2</w:t>
            </w:r>
          </w:p>
        </w:tc>
        <w:tc>
          <w:tcPr>
            <w:tcW w:w="1102" w:type="pct"/>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rPr>
            </w:pPr>
            <w:r>
              <w:rPr>
                <w:rFonts w:hint="eastAsia" w:ascii="宋体" w:hAnsi="宋体" w:eastAsia="宋体" w:cs="宋体"/>
                <w:b/>
                <w:kern w:val="0"/>
                <w:sz w:val="20"/>
                <w:szCs w:val="20"/>
                <w:lang w:val="en-US" w:eastAsia="zh-CN" w:bidi="ar"/>
              </w:rPr>
              <w:t>巡护定位及轨迹监测</w:t>
            </w:r>
          </w:p>
        </w:tc>
        <w:tc>
          <w:tcPr>
            <w:tcW w:w="290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集成无人机、科研监测巡护电动船、观光电瓶车、电动巡逻车的GPS/北斗信息，对其进行实时监控与定位，提供巡护工作中的运行轨迹、巡护状态查看，以及巡护工作质量的分析。必须与我单位建设的“广东罗定金银湖国家湿地公园综合信息管理平台”进行对接，实现数据的统一管理</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0"/>
                <w:sz w:val="20"/>
                <w:szCs w:val="20"/>
                <w:lang w:val="en-US" w:eastAsia="zh-CN" w:bidi="ar"/>
              </w:rPr>
              <w:t>套</w:t>
            </w:r>
          </w:p>
        </w:tc>
      </w:tr>
    </w:tbl>
    <w:p>
      <w:pPr>
        <w:rPr>
          <w:rFonts w:hint="eastAsia" w:ascii="宋体" w:hAnsi="宋体" w:eastAsia="宋体" w:cs="宋体"/>
          <w:b w:val="0"/>
          <w:spacing w:val="16"/>
          <w:kern w:val="44"/>
          <w:sz w:val="44"/>
          <w:szCs w:val="44"/>
        </w:rPr>
        <w:sectPr>
          <w:pgSz w:w="16838" w:h="11906" w:orient="landscape"/>
          <w:pgMar w:top="1800" w:right="1440" w:bottom="1800" w:left="1440" w:header="0" w:footer="1115" w:gutter="0"/>
          <w:pgNumType w:fmt="decimal"/>
          <w:cols w:space="720" w:num="1"/>
          <w:docGrid w:type="lines" w:linePitch="312" w:charSpace="0"/>
        </w:sectPr>
      </w:pPr>
    </w:p>
    <w:p>
      <w:pPr>
        <w:pStyle w:val="3"/>
        <w:widowControl/>
        <w:numPr>
          <w:ilvl w:val="0"/>
          <w:numId w:val="17"/>
        </w:numPr>
        <w:rPr>
          <w:rFonts w:hint="eastAsia" w:ascii="宋体" w:hAnsi="宋体" w:eastAsia="宋体" w:cs="宋体"/>
          <w:b/>
          <w:bCs w:val="0"/>
          <w:spacing w:val="16"/>
          <w:kern w:val="44"/>
          <w:sz w:val="24"/>
          <w:szCs w:val="24"/>
        </w:rPr>
      </w:pPr>
      <w:bookmarkStart w:id="11" w:name="_Toc26452"/>
      <w:bookmarkEnd w:id="11"/>
      <w:r>
        <w:rPr>
          <w:rFonts w:hint="eastAsia" w:ascii="宋体" w:hAnsi="宋体" w:eastAsia="宋体" w:cs="宋体"/>
          <w:b/>
          <w:bCs w:val="0"/>
          <w:spacing w:val="16"/>
          <w:kern w:val="44"/>
          <w:sz w:val="24"/>
          <w:szCs w:val="24"/>
        </w:rPr>
        <w:t>项目服务要求</w:t>
      </w:r>
    </w:p>
    <w:p>
      <w:pPr>
        <w:pStyle w:val="4"/>
        <w:widowControl/>
        <w:numPr>
          <w:ilvl w:val="1"/>
          <w:numId w:val="17"/>
        </w:numPr>
        <w:rPr>
          <w:rFonts w:hint="eastAsia" w:ascii="宋体" w:hAnsi="宋体" w:eastAsia="宋体" w:cs="宋体"/>
          <w:b/>
          <w:spacing w:val="16"/>
          <w:kern w:val="2"/>
          <w:sz w:val="21"/>
          <w:szCs w:val="21"/>
        </w:rPr>
      </w:pPr>
      <w:bookmarkStart w:id="12" w:name="_Toc28401"/>
      <w:bookmarkEnd w:id="12"/>
      <w:r>
        <w:rPr>
          <w:rFonts w:hint="eastAsia" w:ascii="宋体" w:hAnsi="宋体" w:eastAsia="宋体" w:cs="宋体"/>
          <w:b/>
          <w:spacing w:val="16"/>
          <w:kern w:val="2"/>
          <w:sz w:val="21"/>
          <w:szCs w:val="21"/>
        </w:rPr>
        <w:t>报价要求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供应商报价中必须包括项目全部内容的费用（系统开发、设备、器材、零部件、线缆、安装辅助材料的购置、所有软硬设备安装、运输保险、装卸、网络设计、系统的安装调试、整体项目的集成、安全整改、培训辅导、质保期售后服务、全额含税发票、雇员费用、合同实施过程中应预见和不可预见费用等），费用不管是否在报价书中单列，均视为报价总价中已包括该费用。</w:t>
      </w:r>
    </w:p>
    <w:p>
      <w:pPr>
        <w:pStyle w:val="4"/>
        <w:widowControl/>
        <w:numPr>
          <w:ilvl w:val="1"/>
          <w:numId w:val="17"/>
        </w:numPr>
        <w:rPr>
          <w:rFonts w:hint="eastAsia" w:ascii="宋体" w:hAnsi="宋体" w:eastAsia="宋体" w:cs="宋体"/>
          <w:b/>
          <w:spacing w:val="16"/>
          <w:kern w:val="2"/>
          <w:sz w:val="21"/>
          <w:szCs w:val="21"/>
        </w:rPr>
      </w:pPr>
      <w:bookmarkStart w:id="13" w:name="_Toc24272"/>
      <w:bookmarkEnd w:id="13"/>
      <w:r>
        <w:rPr>
          <w:rFonts w:hint="eastAsia" w:ascii="宋体" w:hAnsi="宋体" w:eastAsia="宋体" w:cs="宋体"/>
          <w:b/>
          <w:spacing w:val="16"/>
          <w:kern w:val="2"/>
          <w:sz w:val="21"/>
          <w:szCs w:val="21"/>
        </w:rPr>
        <w:t>完成时间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项目签订合同后30个日历日。</w:t>
      </w:r>
    </w:p>
    <w:p>
      <w:pPr>
        <w:pStyle w:val="4"/>
        <w:widowControl/>
        <w:numPr>
          <w:ilvl w:val="1"/>
          <w:numId w:val="17"/>
        </w:numPr>
        <w:rPr>
          <w:rFonts w:hint="eastAsia" w:ascii="宋体" w:hAnsi="宋体" w:eastAsia="宋体" w:cs="宋体"/>
          <w:b/>
          <w:spacing w:val="16"/>
          <w:kern w:val="2"/>
          <w:sz w:val="21"/>
          <w:szCs w:val="21"/>
        </w:rPr>
      </w:pPr>
      <w:bookmarkStart w:id="14" w:name="_Toc30653"/>
      <w:bookmarkEnd w:id="14"/>
      <w:r>
        <w:rPr>
          <w:rFonts w:hint="eastAsia" w:ascii="宋体" w:hAnsi="宋体" w:eastAsia="宋体" w:cs="宋体"/>
          <w:b/>
          <w:spacing w:val="16"/>
          <w:kern w:val="2"/>
          <w:sz w:val="21"/>
          <w:szCs w:val="21"/>
        </w:rPr>
        <w:t>质保期</w:t>
      </w:r>
      <w:r>
        <w:rPr>
          <w:rFonts w:hint="eastAsia" w:ascii="宋体" w:hAnsi="宋体" w:eastAsia="宋体" w:cs="宋体"/>
          <w:b/>
          <w:spacing w:val="16"/>
          <w:kern w:val="2"/>
          <w:sz w:val="21"/>
          <w:szCs w:val="21"/>
        </w:rPr>
        <w:tab/>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按国家有关产品“三包”规定执行“三包”，所有货物质保期从最终验收合格之日起计算不少于两年（含两年），采购文件中有其他要求的则从其规定。</w:t>
      </w:r>
    </w:p>
    <w:p>
      <w:pPr>
        <w:pStyle w:val="4"/>
        <w:widowControl/>
        <w:numPr>
          <w:ilvl w:val="1"/>
          <w:numId w:val="17"/>
        </w:numPr>
        <w:rPr>
          <w:rFonts w:hint="eastAsia" w:ascii="宋体" w:hAnsi="宋体" w:eastAsia="宋体" w:cs="宋体"/>
          <w:b/>
          <w:spacing w:val="16"/>
          <w:kern w:val="2"/>
          <w:sz w:val="21"/>
          <w:szCs w:val="21"/>
        </w:rPr>
      </w:pPr>
      <w:bookmarkStart w:id="15" w:name="_Toc20657"/>
      <w:bookmarkEnd w:id="15"/>
      <w:bookmarkStart w:id="16" w:name="_Toc9183226"/>
      <w:bookmarkEnd w:id="16"/>
      <w:bookmarkStart w:id="17" w:name="_Toc15688"/>
      <w:r>
        <w:rPr>
          <w:rFonts w:hint="eastAsia" w:ascii="宋体" w:hAnsi="宋体" w:eastAsia="宋体" w:cs="宋体"/>
          <w:b/>
          <w:spacing w:val="16"/>
          <w:kern w:val="2"/>
          <w:sz w:val="21"/>
          <w:szCs w:val="21"/>
        </w:rPr>
        <w:t>安装调试</w:t>
      </w:r>
      <w:bookmarkEnd w:id="17"/>
      <w:r>
        <w:rPr>
          <w:rFonts w:hint="eastAsia" w:ascii="宋体" w:hAnsi="宋体" w:eastAsia="宋体" w:cs="宋体"/>
          <w:b/>
          <w:spacing w:val="16"/>
          <w:kern w:val="2"/>
          <w:sz w:val="21"/>
          <w:szCs w:val="21"/>
        </w:rPr>
        <w:t>要求</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安装：中标人负责到各品目不同的安装地点进行安装调试。中标人应提交详细安装进度表。中标人应设安装负责人，负责安装协调管理工作。安装所需工具设施物料由中标人自备、自费运到现场，完工后自费搬走。</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2、调试：按国家相关施工验收规范进行，分阶段进行调试。设备的拆箱、安装、通电、调试等项工作由中标人负责，但必须在用户指定人员的参与下进行。调试的原始记录须经各方签字后作为验收的文件之一。</w:t>
      </w:r>
    </w:p>
    <w:p>
      <w:pPr>
        <w:pStyle w:val="4"/>
        <w:widowControl/>
        <w:numPr>
          <w:ilvl w:val="1"/>
          <w:numId w:val="17"/>
        </w:numPr>
        <w:rPr>
          <w:rFonts w:hint="eastAsia" w:ascii="宋体" w:hAnsi="宋体" w:eastAsia="宋体" w:cs="宋体"/>
          <w:b/>
          <w:spacing w:val="16"/>
          <w:kern w:val="2"/>
          <w:sz w:val="21"/>
          <w:szCs w:val="21"/>
        </w:rPr>
      </w:pPr>
      <w:bookmarkStart w:id="18" w:name="_Toc7648"/>
      <w:bookmarkEnd w:id="18"/>
      <w:r>
        <w:rPr>
          <w:rFonts w:hint="eastAsia" w:ascii="宋体" w:hAnsi="宋体" w:eastAsia="宋体" w:cs="宋体"/>
          <w:b/>
          <w:spacing w:val="16"/>
          <w:kern w:val="2"/>
          <w:sz w:val="21"/>
          <w:szCs w:val="21"/>
        </w:rPr>
        <w:t>培训内容要求</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1、培训内容要求 </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（1）业务用户培训的重点内容是信息化基础、系统操作、数据维护的操作培训，使其掌握本岗位相关操作。</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（2）系统管理员培训需掌握系统和数据库系统的维护和故障的排除，以及系统用户、安全管理、故障的排除。</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（3）系统管理员培训还需要掌握系统的安装部署等方面的培训。</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（4）对制定的标准规范进行培训，培训对象包括采购人、业务单位、相关业务系统的使用单位等。</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（5）项目实施过程，中标人须对采购人主要项目经办人员进行相关技术培训，要使项目经办人掌握开发平台、数据库等方面的技术。</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2、培训计划</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（1）应用系统培训的总目标是帮助用户建立一支技术过硬的系统维护队伍，使用户能在系统交付使用后，能自行判断和解决系统运行过程中的一般问题，确保系统的正常稳定运行。</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（2）通过对系统的使用操作培训和评测工作，确保用户方的每位系统使用人员都能熟练使用系统，避免误操作现象的发生，保证用户业务工作的连续性。</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（3）培训时间不少于3次，培训过程中用户方可根据培训的情况适当增加培训次数。</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3、培训工作要求</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（1）中标人需提供相应的应用软件技术和系统操作等方面的培训。</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（2）对于所有培训，中标人必须派出具有相应专业资格和实际工作、教育经验的教师和相应的辅导人员进行培训。</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（3）中标人必须为所有被培训人员提供详细的培训计划、培训用文字资料和讲义等相关用品，所有的资料必须是中文书写，培训内容教材等资料须经过采购人评审认可，以确保培训质量。</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（4）培训机构由中标人与采购人共同商议确定，培训机构聘请费用由中标人提供；</w:t>
      </w:r>
    </w:p>
    <w:p>
      <w:pPr>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（5）培训地点必须为独立、封闭，并配备会议所需设备设施，具体地点由中标人与采购人共同商议确定，培训场地租赁、场地布置、设备租用、导师等费用均由中标人提供；</w:t>
      </w:r>
    </w:p>
    <w:p>
      <w:pPr>
        <w:pStyle w:val="4"/>
        <w:widowControl/>
        <w:numPr>
          <w:ilvl w:val="1"/>
          <w:numId w:val="17"/>
        </w:numPr>
        <w:rPr>
          <w:rFonts w:hint="eastAsia" w:ascii="宋体" w:hAnsi="宋体" w:eastAsia="宋体" w:cs="宋体"/>
          <w:b/>
          <w:spacing w:val="16"/>
          <w:kern w:val="2"/>
          <w:sz w:val="21"/>
          <w:szCs w:val="21"/>
        </w:rPr>
      </w:pPr>
      <w:bookmarkStart w:id="19" w:name="_Toc480"/>
      <w:bookmarkEnd w:id="19"/>
      <w:r>
        <w:rPr>
          <w:rFonts w:hint="eastAsia" w:ascii="宋体" w:hAnsi="宋体" w:eastAsia="宋体" w:cs="宋体"/>
          <w:b/>
          <w:spacing w:val="16"/>
          <w:kern w:val="2"/>
          <w:sz w:val="21"/>
          <w:szCs w:val="21"/>
        </w:rPr>
        <w:t>其它要求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一、★项目成交结果公示期间，若有异议，采购人有权要求拟成交供应商提供所投系统以供测试，确保功能参数要求均可满足；若测试达不到应答指标，以虚假应标论处。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保密要求：由于本项目包含系统开发等服务，成交供应商在进行开发过程中，需要了解或知悉采购人的相关业务信息，为确保采购人业务信息的安全，成交供应商必须对本项目所有项目信息予以保密，未经采购人书面许可，成交供应商不得以任何形式向第三方透露本项目的任何内容，并与采购人签订相关的《保密协议书》。</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3"/>
        <w:widowControl/>
        <w:numPr>
          <w:ilvl w:val="0"/>
          <w:numId w:val="17"/>
        </w:numPr>
        <w:rPr>
          <w:rFonts w:hint="eastAsia" w:ascii="宋体" w:hAnsi="宋体" w:eastAsia="宋体" w:cs="宋体"/>
          <w:b/>
          <w:bCs w:val="0"/>
          <w:spacing w:val="16"/>
          <w:kern w:val="44"/>
          <w:sz w:val="21"/>
          <w:szCs w:val="21"/>
        </w:rPr>
      </w:pPr>
      <w:bookmarkStart w:id="20" w:name="_Toc14390"/>
      <w:bookmarkEnd w:id="20"/>
      <w:r>
        <w:rPr>
          <w:rFonts w:hint="eastAsia" w:ascii="宋体" w:hAnsi="宋体" w:eastAsia="宋体" w:cs="宋体"/>
          <w:b/>
          <w:bCs w:val="0"/>
          <w:spacing w:val="16"/>
          <w:kern w:val="44"/>
          <w:sz w:val="21"/>
          <w:szCs w:val="21"/>
        </w:rPr>
        <w:t>项目管理要求</w:t>
      </w:r>
    </w:p>
    <w:p>
      <w:pPr>
        <w:pStyle w:val="4"/>
        <w:widowControl/>
        <w:numPr>
          <w:ilvl w:val="1"/>
          <w:numId w:val="17"/>
        </w:numPr>
        <w:rPr>
          <w:rFonts w:hint="eastAsia" w:ascii="宋体" w:hAnsi="宋体" w:eastAsia="宋体" w:cs="宋体"/>
          <w:b/>
          <w:spacing w:val="16"/>
          <w:kern w:val="2"/>
          <w:sz w:val="21"/>
          <w:szCs w:val="21"/>
        </w:rPr>
      </w:pPr>
      <w:bookmarkStart w:id="21" w:name="_Toc21284"/>
      <w:bookmarkEnd w:id="21"/>
      <w:r>
        <w:rPr>
          <w:rFonts w:hint="eastAsia" w:ascii="宋体" w:hAnsi="宋体" w:eastAsia="宋体" w:cs="宋体"/>
          <w:b/>
          <w:spacing w:val="16"/>
          <w:kern w:val="2"/>
          <w:sz w:val="21"/>
          <w:szCs w:val="21"/>
        </w:rPr>
        <w:t>组织实施要求</w:t>
      </w:r>
    </w:p>
    <w:p>
      <w:pPr>
        <w:keepNext w:val="0"/>
        <w:keepLines w:val="0"/>
        <w:widowControl w:val="0"/>
        <w:suppressLineNumbers w:val="0"/>
        <w:spacing w:before="0" w:beforeAutospacing="0" w:after="0" w:afterAutospacing="0" w:line="48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必须承诺在项目实施过程中遵循以下实施规范：</w:t>
      </w:r>
    </w:p>
    <w:p>
      <w:pPr>
        <w:keepNext w:val="0"/>
        <w:keepLines w:val="0"/>
        <w:widowControl w:val="0"/>
        <w:suppressLineNumbers w:val="0"/>
        <w:spacing w:before="0" w:beforeAutospacing="0" w:after="0" w:afterAutospacing="0" w:line="48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1、服从建设单位对建设过程及建设质量等方面的监督和规范管理；</w:t>
      </w:r>
    </w:p>
    <w:p>
      <w:pPr>
        <w:keepNext w:val="0"/>
        <w:keepLines w:val="0"/>
        <w:widowControl w:val="0"/>
        <w:suppressLineNumbers w:val="0"/>
        <w:spacing w:before="0" w:beforeAutospacing="0" w:after="0" w:afterAutospacing="0" w:line="48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2、严格遵循采购单位、建设单位的相关要求，包括遵循建设单位发出的工作联系单、建设通知单等建设指令，全力支持中标人对系统标准规范、项目工作界面和配合要求等方面的理解和实施；</w:t>
      </w:r>
    </w:p>
    <w:p>
      <w:pPr>
        <w:keepNext w:val="0"/>
        <w:keepLines w:val="0"/>
        <w:widowControl w:val="0"/>
        <w:suppressLineNumbers w:val="0"/>
        <w:spacing w:before="0" w:beforeAutospacing="0" w:after="0" w:afterAutospacing="0" w:line="480" w:lineRule="exact"/>
        <w:ind w:left="0" w:right="0" w:firstLine="420"/>
        <w:jc w:val="both"/>
        <w:rPr>
          <w:rFonts w:hint="eastAsia" w:ascii="宋体" w:hAnsi="宋体" w:cs="宋体"/>
          <w:kern w:val="2"/>
          <w:sz w:val="21"/>
          <w:szCs w:val="21"/>
          <w:lang w:val="en-US" w:eastAsia="zh-CN" w:bidi="ar"/>
        </w:rPr>
      </w:pPr>
      <w:r>
        <w:rPr>
          <w:rFonts w:hint="eastAsia" w:ascii="宋体" w:hAnsi="宋体" w:eastAsia="宋体" w:cs="宋体"/>
          <w:kern w:val="2"/>
          <w:sz w:val="21"/>
          <w:szCs w:val="21"/>
          <w:lang w:val="en-US" w:eastAsia="zh-CN" w:bidi="ar"/>
        </w:rPr>
        <w:t>3、</w:t>
      </w:r>
      <w:r>
        <w:rPr>
          <w:rFonts w:hint="eastAsia" w:ascii="宋体" w:hAnsi="宋体" w:cs="宋体"/>
          <w:kern w:val="2"/>
          <w:sz w:val="21"/>
          <w:szCs w:val="21"/>
          <w:lang w:val="en-US" w:eastAsia="zh-CN" w:bidi="ar"/>
        </w:rPr>
        <w:t>正式启动项目前，须提交项目组织结构、项目计划和实施方案报采购人审核同意，才能申请开工实施；</w:t>
      </w:r>
    </w:p>
    <w:p>
      <w:pPr>
        <w:keepNext w:val="0"/>
        <w:keepLines w:val="0"/>
        <w:widowControl w:val="0"/>
        <w:suppressLineNumbers w:val="0"/>
        <w:spacing w:before="0" w:beforeAutospacing="0" w:after="0" w:afterAutospacing="0" w:line="48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4、在测试验收阶段，中标人须提交完整的测试方案（含测试用例），完成测试验收有关工作；</w:t>
      </w:r>
    </w:p>
    <w:p>
      <w:pPr>
        <w:keepNext w:val="0"/>
        <w:keepLines w:val="0"/>
        <w:widowControl w:val="0"/>
        <w:suppressLineNumbers w:val="0"/>
        <w:spacing w:before="0" w:beforeAutospacing="0" w:after="0" w:afterAutospacing="0" w:line="48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w:t>
      </w:r>
      <w:r>
        <w:rPr>
          <w:rFonts w:hint="eastAsia" w:ascii="宋体" w:hAnsi="宋体" w:cs="宋体"/>
          <w:kern w:val="2"/>
          <w:sz w:val="21"/>
          <w:szCs w:val="21"/>
          <w:lang w:val="en-US" w:eastAsia="zh-CN" w:bidi="ar"/>
        </w:rPr>
        <w:t>根据项目总体进度要求和进展情况，采购人可能会调整工期和进度计划，中标人应在投标总价中充分考虑这种工期风险，在实施过程中不得籍此要求增加任何费用。</w:t>
      </w:r>
    </w:p>
    <w:p>
      <w:pPr>
        <w:keepNext w:val="0"/>
        <w:keepLines w:val="0"/>
        <w:widowControl w:val="0"/>
        <w:suppressLineNumbers w:val="0"/>
        <w:spacing w:before="0" w:beforeAutospacing="0" w:after="0" w:afterAutospacing="0" w:line="480" w:lineRule="exact"/>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6、中标人如果与用户单位发生争议，必须服从采购人的裁决，并不得以此要求采购人增加费用或延长工期。</w:t>
      </w:r>
    </w:p>
    <w:p>
      <w:pPr>
        <w:pStyle w:val="4"/>
        <w:widowControl/>
        <w:numPr>
          <w:ilvl w:val="1"/>
          <w:numId w:val="17"/>
        </w:numPr>
        <w:rPr>
          <w:rFonts w:hint="eastAsia" w:ascii="宋体" w:hAnsi="宋体" w:eastAsia="宋体" w:cs="宋体"/>
          <w:b/>
          <w:spacing w:val="16"/>
          <w:kern w:val="2"/>
          <w:sz w:val="21"/>
          <w:szCs w:val="21"/>
        </w:rPr>
      </w:pPr>
      <w:bookmarkStart w:id="22" w:name="_Toc22963"/>
      <w:bookmarkEnd w:id="22"/>
      <w:r>
        <w:rPr>
          <w:rFonts w:hint="eastAsia" w:ascii="宋体" w:hAnsi="宋体" w:eastAsia="宋体" w:cs="宋体"/>
          <w:b/>
          <w:spacing w:val="16"/>
          <w:kern w:val="2"/>
          <w:sz w:val="21"/>
          <w:szCs w:val="21"/>
        </w:rPr>
        <w:t>项目服务期限要求</w:t>
      </w:r>
    </w:p>
    <w:p>
      <w:pPr>
        <w:pStyle w:val="80"/>
        <w:widowControl/>
        <w:spacing w:line="480" w:lineRule="exact"/>
        <w:ind w:left="0" w:firstLine="480"/>
        <w:rPr>
          <w:rFonts w:hint="eastAsia" w:ascii="宋体" w:hAnsi="宋体" w:eastAsia="宋体" w:cs="宋体"/>
          <w:kern w:val="10"/>
          <w:sz w:val="21"/>
          <w:szCs w:val="21"/>
        </w:rPr>
      </w:pPr>
      <w:r>
        <w:rPr>
          <w:rFonts w:hint="eastAsia" w:ascii="宋体" w:hAnsi="宋体" w:eastAsia="宋体" w:cs="宋体"/>
          <w:kern w:val="10"/>
          <w:sz w:val="21"/>
          <w:szCs w:val="21"/>
        </w:rPr>
        <w:t>1、中标人收到中标通知书后7日内签订合同，自合同签订之日起30个工作日内完成项目施工（包括设备到位、安装、验收，能交付用户使用）。</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保修和技术支持服务期：自项目验收合格之日起2年（其中保质期出厂标准高于2年的产品按厂家标准执行售后服务）、项目运营维护期：自项目验收合格之日起2年，售后服务费用计入投标总价。质保期内提供免费技术服务及热线电话服务。在质保期内，如果系统发生故障，接到保修电话后应作出响应，维修人员应在获知设备故障后及时到达维修现场。</w:t>
      </w:r>
    </w:p>
    <w:p>
      <w:pPr>
        <w:pStyle w:val="4"/>
        <w:widowControl/>
        <w:numPr>
          <w:ilvl w:val="1"/>
          <w:numId w:val="17"/>
        </w:numPr>
        <w:rPr>
          <w:rFonts w:hint="eastAsia" w:ascii="宋体" w:hAnsi="宋体" w:eastAsia="宋体" w:cs="宋体"/>
          <w:b/>
          <w:spacing w:val="16"/>
          <w:kern w:val="2"/>
          <w:sz w:val="21"/>
          <w:szCs w:val="21"/>
        </w:rPr>
      </w:pPr>
      <w:bookmarkStart w:id="23" w:name="_Toc10577"/>
      <w:bookmarkEnd w:id="23"/>
      <w:bookmarkStart w:id="24" w:name="_Toc9183228"/>
      <w:bookmarkEnd w:id="24"/>
      <w:bookmarkStart w:id="25" w:name="_Toc19566"/>
      <w:r>
        <w:rPr>
          <w:rFonts w:hint="eastAsia" w:ascii="宋体" w:hAnsi="宋体" w:eastAsia="宋体" w:cs="宋体"/>
          <w:b/>
          <w:spacing w:val="16"/>
          <w:kern w:val="2"/>
          <w:sz w:val="21"/>
          <w:szCs w:val="21"/>
        </w:rPr>
        <w:t>项目验收</w:t>
      </w:r>
      <w:bookmarkEnd w:id="25"/>
      <w:r>
        <w:rPr>
          <w:rFonts w:hint="eastAsia" w:ascii="宋体" w:hAnsi="宋体" w:eastAsia="宋体" w:cs="宋体"/>
          <w:b/>
          <w:spacing w:val="16"/>
          <w:kern w:val="2"/>
          <w:sz w:val="21"/>
          <w:szCs w:val="21"/>
        </w:rPr>
        <w:t>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1）符合中华人民共和国国家和履约地相关安全质量标准、行业技术规范标准、环保节能标准；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2）罗定市林业局组织人员对本项目验收，验收内容包括：货物与系统是否能正常运行，是否具备业主要求的功能，配件数量是否齐全。</w:t>
      </w:r>
    </w:p>
    <w:p>
      <w:pPr>
        <w:pStyle w:val="4"/>
        <w:widowControl/>
        <w:numPr>
          <w:ilvl w:val="1"/>
          <w:numId w:val="17"/>
        </w:numPr>
        <w:rPr>
          <w:rFonts w:hint="eastAsia" w:ascii="宋体" w:hAnsi="宋体" w:eastAsia="宋体" w:cs="宋体"/>
          <w:b/>
          <w:spacing w:val="16"/>
          <w:kern w:val="2"/>
          <w:sz w:val="21"/>
          <w:szCs w:val="21"/>
        </w:rPr>
      </w:pPr>
      <w:bookmarkStart w:id="26" w:name="_Toc31673"/>
      <w:bookmarkEnd w:id="26"/>
      <w:r>
        <w:rPr>
          <w:rFonts w:hint="eastAsia" w:ascii="宋体" w:hAnsi="宋体" w:eastAsia="宋体" w:cs="宋体"/>
          <w:b/>
          <w:spacing w:val="16"/>
          <w:kern w:val="2"/>
          <w:sz w:val="21"/>
          <w:szCs w:val="21"/>
        </w:rPr>
        <w:t>项目付款方式</w:t>
      </w:r>
    </w:p>
    <w:p>
      <w:pPr>
        <w:keepNext w:val="0"/>
        <w:keepLines w:val="0"/>
        <w:widowControl w:val="0"/>
        <w:suppressLineNumbers w:val="0"/>
        <w:snapToGrid w:val="0"/>
        <w:spacing w:before="0" w:beforeAutospacing="0" w:after="0" w:afterAutospacing="0" w:line="4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由采购人按下列程序付款：</w:t>
      </w:r>
    </w:p>
    <w:p>
      <w:pPr>
        <w:keepNext w:val="0"/>
        <w:keepLines w:val="0"/>
        <w:widowControl w:val="0"/>
        <w:numPr>
          <w:ilvl w:val="0"/>
          <w:numId w:val="18"/>
        </w:numPr>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项目采用分期付款的方式，具体如下：</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中标单位完成广东罗定金银湖国家湿地公园科研监测设备采购及在线监测系统集成服务项目的资源监测三维GIS研发以及科研监测巡护电动船船体铺设龙骨脱模后的5个工作日内，采购单位验收合格</w:t>
      </w:r>
      <w:r>
        <w:rPr>
          <w:rFonts w:hint="eastAsia" w:ascii="宋体" w:hAnsi="宋体" w:cs="宋体"/>
          <w:kern w:val="2"/>
          <w:sz w:val="21"/>
          <w:szCs w:val="21"/>
          <w:lang w:val="en-US" w:eastAsia="zh-CN" w:bidi="ar"/>
        </w:rPr>
        <w:t>后</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由采购单位向</w:t>
      </w:r>
      <w:r>
        <w:rPr>
          <w:rFonts w:hint="eastAsia" w:ascii="宋体" w:hAnsi="宋体" w:eastAsia="宋体" w:cs="宋体"/>
          <w:kern w:val="2"/>
          <w:sz w:val="21"/>
          <w:szCs w:val="21"/>
          <w:lang w:val="en-US" w:eastAsia="zh-CN" w:bidi="ar"/>
        </w:rPr>
        <w:t>罗定市财政</w:t>
      </w:r>
      <w:r>
        <w:rPr>
          <w:rFonts w:hint="eastAsia" w:ascii="宋体" w:hAnsi="宋体" w:cs="宋体"/>
          <w:kern w:val="2"/>
          <w:sz w:val="21"/>
          <w:szCs w:val="21"/>
          <w:lang w:val="en-US" w:eastAsia="zh-CN" w:bidi="ar"/>
        </w:rPr>
        <w:t>局申请</w:t>
      </w:r>
      <w:r>
        <w:rPr>
          <w:rFonts w:hint="eastAsia" w:ascii="宋体" w:hAnsi="宋体" w:eastAsia="宋体" w:cs="宋体"/>
          <w:kern w:val="2"/>
          <w:sz w:val="21"/>
          <w:szCs w:val="21"/>
          <w:lang w:val="en-US" w:eastAsia="zh-CN" w:bidi="ar"/>
        </w:rPr>
        <w:t>支付70%的合同款</w:t>
      </w:r>
      <w:r>
        <w:rPr>
          <w:rFonts w:hint="eastAsia" w:ascii="宋体" w:hAnsi="宋体" w:cs="宋体"/>
          <w:kern w:val="2"/>
          <w:sz w:val="21"/>
          <w:szCs w:val="21"/>
          <w:lang w:val="en-US" w:eastAsia="zh-CN" w:bidi="ar"/>
        </w:rPr>
        <w:t>给中标单位</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cs="宋体"/>
          <w:kern w:val="2"/>
          <w:sz w:val="21"/>
          <w:szCs w:val="21"/>
          <w:lang w:val="en-US" w:eastAsia="zh-CN" w:bidi="ar"/>
        </w:rPr>
        <w:t>待整个</w:t>
      </w:r>
      <w:r>
        <w:rPr>
          <w:rFonts w:hint="eastAsia" w:ascii="宋体" w:hAnsi="宋体" w:eastAsia="宋体" w:cs="宋体"/>
          <w:kern w:val="2"/>
          <w:sz w:val="21"/>
          <w:szCs w:val="21"/>
          <w:lang w:val="en-US" w:eastAsia="zh-CN" w:bidi="ar"/>
        </w:rPr>
        <w:t>项目全部完成，</w:t>
      </w:r>
      <w:r>
        <w:rPr>
          <w:rFonts w:hint="eastAsia" w:ascii="宋体" w:hAnsi="宋体" w:cs="宋体"/>
          <w:kern w:val="2"/>
          <w:sz w:val="21"/>
          <w:szCs w:val="21"/>
          <w:lang w:val="en-US" w:eastAsia="zh-CN" w:bidi="ar"/>
        </w:rPr>
        <w:t>并由</w:t>
      </w:r>
      <w:r>
        <w:rPr>
          <w:rFonts w:hint="eastAsia" w:ascii="宋体" w:hAnsi="宋体" w:eastAsia="宋体" w:cs="宋体"/>
          <w:kern w:val="2"/>
          <w:sz w:val="21"/>
          <w:szCs w:val="21"/>
          <w:lang w:val="en-US" w:eastAsia="zh-CN" w:bidi="ar"/>
        </w:rPr>
        <w:t>采购单位验收合格后5个工作日内</w:t>
      </w:r>
      <w:r>
        <w:rPr>
          <w:rFonts w:hint="eastAsia" w:ascii="宋体" w:hAnsi="宋体" w:cs="宋体"/>
          <w:kern w:val="2"/>
          <w:sz w:val="21"/>
          <w:szCs w:val="21"/>
          <w:lang w:val="en-US" w:eastAsia="zh-CN" w:bidi="ar"/>
        </w:rPr>
        <w:t>向</w:t>
      </w:r>
      <w:r>
        <w:rPr>
          <w:rFonts w:hint="eastAsia" w:ascii="宋体" w:hAnsi="宋体" w:eastAsia="宋体" w:cs="宋体"/>
          <w:kern w:val="2"/>
          <w:sz w:val="21"/>
          <w:szCs w:val="21"/>
          <w:lang w:val="en-US" w:eastAsia="zh-CN" w:bidi="ar"/>
        </w:rPr>
        <w:t>罗定市财政</w:t>
      </w:r>
      <w:r>
        <w:rPr>
          <w:rFonts w:hint="eastAsia" w:ascii="宋体" w:hAnsi="宋体" w:cs="宋体"/>
          <w:kern w:val="2"/>
          <w:sz w:val="21"/>
          <w:szCs w:val="21"/>
          <w:lang w:val="en-US" w:eastAsia="zh-CN" w:bidi="ar"/>
        </w:rPr>
        <w:t>局申请</w:t>
      </w:r>
      <w:r>
        <w:rPr>
          <w:rFonts w:hint="eastAsia" w:ascii="宋体" w:hAnsi="宋体" w:eastAsia="宋体" w:cs="宋体"/>
          <w:kern w:val="2"/>
          <w:sz w:val="21"/>
          <w:szCs w:val="21"/>
          <w:lang w:val="en-US" w:eastAsia="zh-CN" w:bidi="ar"/>
        </w:rPr>
        <w:t>支付合同余下30%款项</w:t>
      </w:r>
      <w:r>
        <w:rPr>
          <w:rFonts w:hint="eastAsia" w:ascii="宋体" w:hAnsi="宋体" w:cs="宋体"/>
          <w:kern w:val="2"/>
          <w:sz w:val="21"/>
          <w:szCs w:val="21"/>
          <w:lang w:val="en-US" w:eastAsia="zh-CN" w:bidi="ar"/>
        </w:rPr>
        <w:t>给中标单位</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48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2）其他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因</w:t>
      </w:r>
      <w:r>
        <w:rPr>
          <w:rFonts w:hint="eastAsia" w:ascii="宋体" w:hAnsi="宋体" w:cs="宋体"/>
          <w:kern w:val="2"/>
          <w:sz w:val="21"/>
          <w:szCs w:val="21"/>
          <w:lang w:val="en-US" w:eastAsia="zh-CN" w:bidi="ar"/>
        </w:rPr>
        <w:t>采购单位</w:t>
      </w:r>
      <w:r>
        <w:rPr>
          <w:rFonts w:hint="eastAsia" w:ascii="宋体" w:hAnsi="宋体" w:eastAsia="宋体" w:cs="宋体"/>
          <w:kern w:val="2"/>
          <w:sz w:val="21"/>
          <w:szCs w:val="21"/>
          <w:lang w:val="en-US" w:eastAsia="zh-CN" w:bidi="ar"/>
        </w:rPr>
        <w:t>使用的是财政资金，</w:t>
      </w:r>
      <w:r>
        <w:rPr>
          <w:rFonts w:hint="eastAsia" w:ascii="宋体" w:hAnsi="宋体" w:cs="宋体"/>
          <w:kern w:val="2"/>
          <w:sz w:val="21"/>
          <w:szCs w:val="21"/>
          <w:lang w:val="en-US" w:eastAsia="zh-CN" w:bidi="ar"/>
        </w:rPr>
        <w:t>采购单位的付款时间为向政府采购支付部门提出办理财政支付申请手续的时间</w:t>
      </w:r>
      <w:r>
        <w:rPr>
          <w:rFonts w:hint="eastAsia" w:ascii="宋体" w:hAnsi="宋体" w:eastAsia="宋体" w:cs="宋体"/>
          <w:kern w:val="2"/>
          <w:sz w:val="21"/>
          <w:szCs w:val="21"/>
          <w:lang w:val="en-US" w:eastAsia="zh-CN" w:bidi="ar"/>
        </w:rPr>
        <w:t>（不含政府财政支付部门审核的时间），在规定时间内提出支付申请手续后即视为</w:t>
      </w:r>
      <w:r>
        <w:rPr>
          <w:rFonts w:hint="eastAsia" w:ascii="宋体" w:hAnsi="宋体" w:cs="宋体"/>
          <w:kern w:val="2"/>
          <w:sz w:val="21"/>
          <w:szCs w:val="21"/>
          <w:lang w:val="en-US" w:eastAsia="zh-CN" w:bidi="ar"/>
        </w:rPr>
        <w:t>采购单位</w:t>
      </w:r>
      <w:r>
        <w:rPr>
          <w:rFonts w:hint="eastAsia" w:ascii="宋体" w:hAnsi="宋体" w:eastAsia="宋体" w:cs="宋体"/>
          <w:kern w:val="2"/>
          <w:sz w:val="21"/>
          <w:szCs w:val="21"/>
          <w:lang w:val="en-US" w:eastAsia="zh-CN" w:bidi="ar"/>
        </w:rPr>
        <w:t>已经按期支付。</w:t>
      </w:r>
    </w:p>
    <w:p>
      <w:pPr>
        <w:rPr>
          <w:rFonts w:hint="eastAsia" w:ascii="宋体" w:hAnsi="宋体" w:eastAsia="宋体" w:cs="宋体"/>
          <w:kern w:val="2"/>
          <w:sz w:val="21"/>
          <w:szCs w:val="21"/>
          <w:lang w:val="en-US" w:eastAsia="zh-CN" w:bidi="ar"/>
        </w:rPr>
      </w:pPr>
      <w:r>
        <w:rPr>
          <w:rFonts w:hint="eastAsia" w:ascii="宋体" w:hAnsi="宋体" w:eastAsia="宋体" w:cs="宋体"/>
          <w:b/>
          <w:spacing w:val="16"/>
          <w:kern w:val="44"/>
          <w:sz w:val="44"/>
          <w:szCs w:val="44"/>
        </w:rPr>
        <w:br w:type="page"/>
      </w:r>
      <w:bookmarkStart w:id="27" w:name="_Toc18263"/>
      <w:bookmarkEnd w:id="27"/>
    </w:p>
    <w:p>
      <w:pPr>
        <w:keepNext w:val="0"/>
        <w:keepLines w:val="0"/>
        <w:widowControl w:val="0"/>
        <w:suppressLineNumbers w:val="0"/>
        <w:spacing w:before="0" w:beforeAutospacing="0" w:after="0" w:afterAutospacing="0"/>
        <w:ind w:left="0" w:right="0"/>
        <w:jc w:val="both"/>
      </w:pPr>
    </w:p>
    <w:p/>
    <w:p>
      <w:pPr>
        <w:pStyle w:val="2"/>
      </w:pPr>
    </w:p>
    <w:p/>
    <w:p>
      <w:pPr>
        <w:pStyle w:val="3"/>
      </w:pPr>
    </w:p>
    <w:p>
      <w:pPr>
        <w:pStyle w:val="2"/>
        <w:ind w:left="0" w:leftChars="0" w:firstLine="0" w:firstLineChars="0"/>
      </w:pPr>
    </w:p>
    <w:p>
      <w:pPr>
        <w:jc w:val="center"/>
        <w:rPr>
          <w:color w:val="auto"/>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color w:val="auto"/>
          <w:sz w:val="48"/>
        </w:rPr>
      </w:pPr>
      <w:r>
        <w:rPr>
          <w:rFonts w:ascii="宋体"/>
          <w:color w:val="auto"/>
          <w:sz w:val="48"/>
        </w:rPr>
        <w:tab/>
      </w:r>
    </w:p>
    <w:p>
      <w:pPr>
        <w:adjustRightInd w:val="0"/>
        <w:snapToGrid w:val="0"/>
        <w:spacing w:line="480" w:lineRule="exact"/>
        <w:jc w:val="both"/>
        <w:rPr>
          <w:rFonts w:ascii="宋体"/>
          <w:b/>
          <w:color w:val="auto"/>
          <w:sz w:val="48"/>
        </w:rPr>
      </w:pPr>
    </w:p>
    <w:p>
      <w:pPr>
        <w:pStyle w:val="13"/>
        <w:rPr>
          <w:rFonts w:ascii="宋体"/>
          <w:b/>
          <w:color w:val="auto"/>
          <w:sz w:val="48"/>
        </w:rPr>
      </w:pPr>
    </w:p>
    <w:p>
      <w:pPr>
        <w:pStyle w:val="13"/>
        <w:rPr>
          <w:rFonts w:ascii="宋体"/>
          <w:b/>
          <w:color w:val="auto"/>
          <w:sz w:val="48"/>
        </w:rPr>
        <w:sectPr>
          <w:pgSz w:w="11910" w:h="16840"/>
          <w:pgMar w:top="1440" w:right="1080" w:bottom="1440" w:left="1080" w:header="0" w:footer="1115" w:gutter="0"/>
          <w:pgNumType w:fmt="decimal"/>
          <w:cols w:space="720" w:num="1"/>
        </w:sectPr>
      </w:pPr>
    </w:p>
    <w:p>
      <w:pPr>
        <w:tabs>
          <w:tab w:val="left" w:pos="4500"/>
        </w:tabs>
        <w:spacing w:line="360" w:lineRule="auto"/>
        <w:jc w:val="both"/>
        <w:rPr>
          <w:rFonts w:hint="eastAsia" w:ascii="宋体" w:hAnsi="宋体"/>
          <w:color w:val="auto"/>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color w:val="000000"/>
          <w:kern w:val="0"/>
          <w:sz w:val="28"/>
          <w:szCs w:val="28"/>
          <w:lang w:val="en-US" w:eastAsia="zh-CN" w:bidi="ar"/>
        </w:rPr>
        <w:t xml:space="preserve">合同通用条款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color w:val="000000"/>
          <w:kern w:val="0"/>
          <w:sz w:val="24"/>
          <w:szCs w:val="24"/>
          <w:lang w:val="en-US" w:eastAsia="zh-CN" w:bidi="ar"/>
        </w:rPr>
        <w:t xml:space="preserve">(此合同样本为通用合同，合同具体细则以成交双方协定为准，但不得对磋商文件、响应文件作实质性修改。)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甲 方</w:t>
      </w:r>
      <w:r>
        <w:rPr>
          <w:rFonts w:hint="eastAsia" w:ascii="宋体" w:hAnsi="宋体" w:eastAsia="宋体" w:cs="宋体"/>
          <w:color w:val="000000"/>
          <w:kern w:val="0"/>
          <w:sz w:val="21"/>
          <w:szCs w:val="21"/>
          <w:lang w:val="en-US" w:eastAsia="zh-CN" w:bidi="ar"/>
        </w:rPr>
        <w:t>（采购人）</w:t>
      </w:r>
      <w:r>
        <w:rPr>
          <w:rFonts w:hint="eastAsia" w:ascii="宋体" w:hAnsi="宋体" w:eastAsia="宋体" w:cs="宋体"/>
          <w:b/>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电 话：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传 真：</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地 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乙 方</w:t>
      </w:r>
      <w:r>
        <w:rPr>
          <w:rFonts w:hint="eastAsia" w:ascii="宋体" w:hAnsi="宋体" w:eastAsia="宋体" w:cs="宋体"/>
          <w:color w:val="000000"/>
          <w:kern w:val="0"/>
          <w:sz w:val="21"/>
          <w:szCs w:val="21"/>
          <w:lang w:val="en-US" w:eastAsia="zh-CN" w:bidi="ar"/>
        </w:rPr>
        <w:t>（中标人）</w:t>
      </w:r>
      <w:r>
        <w:rPr>
          <w:rFonts w:hint="eastAsia" w:ascii="宋体" w:hAnsi="宋体" w:eastAsia="宋体" w:cs="宋体"/>
          <w:b/>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电 话：</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传 真：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地 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项目名称：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项目编号：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根据</w:t>
      </w:r>
      <w:r>
        <w:rPr>
          <w:rFonts w:hint="eastAsia" w:ascii="宋体" w:hAnsi="宋体" w:eastAsia="宋体" w:cs="宋体"/>
          <w:color w:val="000000"/>
          <w:kern w:val="0"/>
          <w:sz w:val="21"/>
          <w:szCs w:val="21"/>
          <w:u w:val="single"/>
          <w:lang w:val="en-US" w:eastAsia="zh-CN" w:bidi="ar"/>
        </w:rPr>
        <w:t xml:space="preserve"> （项目名称） </w:t>
      </w:r>
      <w:r>
        <w:rPr>
          <w:rFonts w:hint="eastAsia" w:ascii="宋体" w:hAnsi="宋体" w:eastAsia="宋体" w:cs="宋体"/>
          <w:color w:val="000000"/>
          <w:kern w:val="0"/>
          <w:sz w:val="21"/>
          <w:szCs w:val="21"/>
          <w:lang w:val="en-US" w:eastAsia="zh-CN" w:bidi="ar"/>
        </w:rPr>
        <w:t xml:space="preserve">（项目编号：）的采购结果，按照《中华人民共和国政府采购法》及其实施条例、《中华人民共和国合同法》的规定，经双方协商，本着平等互利和诚实信用的原则，一致同意签订本合同如下。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一、合同金额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合同金额为（大写）：</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二、服务范围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甲方聘请乙方提供以下服务：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1．本合同项下的服务指。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三、甲方乙方的权利和义务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 甲方的权利和义务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 乙方的权利和义务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四、服务期间（项目完成期限）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1、中标人收到中标通知书后7日内签订合同，自合同签订之日起30个工作日内完成项目施工（包括设备到位、安装、验收，能交付用户使用）。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保修和技术支持服务期：自项目验收合格之日起2年（其中保质期出厂标准高于2年的产品按厂家标准执行售后服务）、项目运营维护期：自项目验收合格之日起2年，售后服务费用计入投标总价。质保期内提供免费技术服务及热线电话服务。在质保期内，如果系统发生故障，接到保修电话后应作出响应，维修人员应在获知设备故障后及时到达维修现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五、付款方式（招标文件用户需求书另有规定从其规定）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由采购人按下列程序付款：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1）项目采用分期付款的方式，具体如下：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标单位完成广东罗定金银湖国家湿地公园科研监测设备采购及在线监测系统集成服务项目的资源监测三维GIS研发以及科研监测巡护电动船船体铺设龙骨脱模后的5个工作日内，采购单位验收合格后，由采购单位向罗定市财政局申请支付70%的合同款给中标单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待整个项目全部完成，并由采购单位验收合格后5个工作日内向罗定市财政局申请支付合同余下30%款项给中标单位。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2）其他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因采购单位使用的是财政资金，采购单位的付款时间为向政府采购支付部门提出办理财政支付申请手续的时间（不含政府财政支付部门审核的时间），在规定时间内提出支付申请手续后即视为采购单位已经按期支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六、知识产权产权归属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乙方应保证本项目的投标技术、服务或其任何一部分不会产生因第三方提出侵犯其专利权、商 标权或其他知识产权而引起的法律和经济纠纷；如因第三方提出其专利权、商标权或其他知识产权 的侵权之诉，则一切法律责任由乙方承担。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七、保密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1、未经乙方事先书面同意，甲方不得将由乙方为本合同提供的条文、规格、计划、图纸、模型、样品或 资料提供给与本合同无关的任何第三方，不得将其用于履行本合同之外的其它用途。即使向与履行本合同 有关的人员提供，也应注意保密并限于履行合同所必需的范围。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2、除了合同本身之外，上款所列举的任何物件均是乙方的财产。如果乙方有要求，甲方在完成合同后应 将这些物件及全部复制件还给乙方。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八、违约责任与赔偿损失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1、乙方提供的服务不符合采购文件、投标文件或本合同规定的，甲方有权拒收，并且乙方须向甲方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方支付本合同总价 5%的违约金。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2、乙方未能按本合同规定的交货时间交付货物的/提供服务，从逾期之日起每日按本合同总价 3‰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的数额向甲方支付违约金；逾期 15 天以上（含 15 天）的，甲方有权终止合同，要求乙方支付违约金， 并且给甲方造成的经济损失由乙方承担赔偿责任。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3、甲方无正当理由拒收接受服务，到期拒付服务款项的，甲方向乙方偿付本合同总价 5%的违约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金。甲方逾期付款，则每日按本合同总价的 3‰向乙方偿付违约金。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4、其它违约责任按《中华人民共和国合同法》处理。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九、争端的解决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合同执行过程中发生的任何争议，如双方不能通过友好协商解决，甲、乙双方一致同意向甲方所在地人民法院提起诉讼。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十、不可抗力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十一、 税费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在中国境内、外发生的与本合同执行有关的一切税费均由乙方负担。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十二、 其它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1、本合同所有附件、招标文件、投标文件、中标通知书均为合同的有效组成部分，与本合同具有同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等法律效力。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2、在执行本合同的过程中，所有经双方签署确认的文件（包括会议纪要、补充协议、往来信函）即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成为本合同的有效组成部分。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3、如一方地址、电话、传真号码有变更，应在变更当日内书面通知对方，否则，应承担相应责任。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4、除甲方事先书面同意外，乙方不得部分或全部转让其应履行的合同项下的义务。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十三、 合同生效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1、合同自甲乙双方法人代表或其授权代表签字盖章之日起生效。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color w:val="000000"/>
          <w:kern w:val="0"/>
          <w:sz w:val="21"/>
          <w:szCs w:val="21"/>
          <w:lang w:val="en-US" w:eastAsia="zh-CN" w:bidi="ar"/>
        </w:rPr>
        <w:t>2、合同壹式</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份，其中甲乙双方各执</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份，政府采购代理机构执</w:t>
      </w:r>
      <w:r>
        <w:rPr>
          <w:rFonts w:hint="eastAsia" w:ascii="宋体" w:hAnsi="宋体" w:eastAsia="宋体" w:cs="宋体"/>
          <w:color w:val="000000"/>
          <w:kern w:val="0"/>
          <w:sz w:val="21"/>
          <w:szCs w:val="21"/>
          <w:u w:val="single"/>
          <w:lang w:val="en-US" w:eastAsia="zh-CN" w:bidi="ar"/>
        </w:rPr>
        <w:t>壹</w:t>
      </w:r>
      <w:r>
        <w:rPr>
          <w:rFonts w:hint="eastAsia" w:ascii="宋体" w:hAnsi="宋体" w:eastAsia="宋体" w:cs="宋体"/>
          <w:color w:val="000000"/>
          <w:kern w:val="0"/>
          <w:sz w:val="21"/>
          <w:szCs w:val="21"/>
          <w:lang w:val="en-US" w:eastAsia="zh-CN" w:bidi="ar"/>
        </w:rPr>
        <w:t>份，政府采购监督管理部门</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份。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甲方（盖章）：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乙方（盖章）：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代表：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代表：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 xml:space="preserve">签定地点：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签定地点：</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签定日期： 年 月 日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签定日期： 年 月 日</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开户名称：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开户名称：</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银行账号：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银行账号：</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ascii="宋体"/>
          <w:b/>
          <w:color w:val="auto"/>
          <w:spacing w:val="40"/>
          <w:sz w:val="36"/>
        </w:rPr>
      </w:pPr>
      <w:r>
        <w:rPr>
          <w:rFonts w:hint="eastAsia" w:ascii="宋体" w:hAnsi="宋体" w:eastAsia="宋体" w:cs="宋体"/>
          <w:color w:val="000000"/>
          <w:kern w:val="0"/>
          <w:sz w:val="21"/>
          <w:szCs w:val="21"/>
          <w:lang w:val="en-US" w:eastAsia="zh-CN" w:bidi="ar"/>
        </w:rPr>
        <w:t>开 户 行：</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开 户 行：</w:t>
      </w:r>
    </w:p>
    <w:p>
      <w:pPr>
        <w:adjustRightInd w:val="0"/>
        <w:snapToGrid w:val="0"/>
        <w:spacing w:line="360" w:lineRule="auto"/>
        <w:rPr>
          <w:rFonts w:ascii="宋体"/>
          <w:b/>
          <w:color w:val="auto"/>
          <w:sz w:val="48"/>
        </w:rPr>
        <w:sectPr>
          <w:footerReference r:id="rId16" w:type="default"/>
          <w:pgSz w:w="11907" w:h="16840"/>
          <w:pgMar w:top="1440" w:right="1418" w:bottom="1440" w:left="1418" w:header="851" w:footer="851" w:gutter="0"/>
          <w:pgNumType w:fmt="decimal"/>
          <w:cols w:space="720" w:num="1"/>
          <w:docGrid w:linePitch="285" w:charSpace="0"/>
        </w:sect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28" w:name="_Toc202819877"/>
      <w:bookmarkStart w:id="29" w:name="_Toc202252033"/>
      <w:bookmarkStart w:id="30" w:name="_Toc202816995"/>
      <w:bookmarkStart w:id="31" w:name="_Toc202254104"/>
      <w:bookmarkStart w:id="32" w:name="_Toc202820350"/>
      <w:bookmarkStart w:id="33" w:name="_Toc202251074"/>
      <w:bookmarkStart w:id="34" w:name="_Toc202251699"/>
      <w:r>
        <w:rPr>
          <w:rFonts w:hint="eastAsia" w:ascii="宋体" w:hAnsi="宋体"/>
          <w:b/>
          <w:color w:val="auto"/>
          <w:sz w:val="32"/>
          <w:szCs w:val="32"/>
        </w:rPr>
        <w:t>自查表</w:t>
      </w:r>
      <w:bookmarkEnd w:id="28"/>
      <w:bookmarkEnd w:id="29"/>
      <w:bookmarkEnd w:id="30"/>
      <w:bookmarkEnd w:id="31"/>
      <w:bookmarkEnd w:id="32"/>
      <w:bookmarkEnd w:id="33"/>
      <w:bookmarkEnd w:id="34"/>
    </w:p>
    <w:tbl>
      <w:tblPr>
        <w:tblStyle w:val="27"/>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auto"/>
              </w:rPr>
            </w:pPr>
            <w:r>
              <w:rPr>
                <w:rFonts w:hint="eastAsia" w:ascii="宋体" w:hAnsi="宋体" w:cs="宋体"/>
                <w:color w:val="auto"/>
              </w:rPr>
              <w:t>磋商文件要求</w:t>
            </w:r>
            <w:r>
              <w:rPr>
                <w:rFonts w:hint="default"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numPr>
                <w:ilvl w:val="0"/>
                <w:numId w:val="0"/>
              </w:numPr>
              <w:suppressLineNumbers w:val="0"/>
              <w:spacing w:before="0" w:beforeAutospacing="0" w:after="0" w:afterAutospacing="0"/>
              <w:ind w:left="0" w:right="0"/>
              <w:rPr>
                <w:rFonts w:hint="eastAsia" w:ascii="宋体" w:hAnsi="宋体" w:cs="宋体"/>
                <w:color w:val="auto"/>
                <w:lang w:eastAsia="zh-CN"/>
              </w:rPr>
            </w:pPr>
            <w:r>
              <w:rPr>
                <w:rFonts w:hint="eastAsia" w:ascii="宋体" w:hAnsi="宋体" w:cs="宋体"/>
                <w:color w:val="auto"/>
                <w:lang w:val="en-US" w:eastAsia="zh-CN"/>
              </w:rPr>
              <w:t>（1）</w:t>
            </w:r>
            <w:r>
              <w:rPr>
                <w:rFonts w:hint="eastAsia" w:ascii="宋体" w:hAnsi="宋体" w:cs="宋体"/>
                <w:color w:val="auto"/>
              </w:rPr>
              <w:t>供应商应具备《政府采购法》第二十二条规定的条件。</w:t>
            </w:r>
            <w:r>
              <w:rPr>
                <w:rFonts w:hint="default" w:ascii="宋体" w:hAnsi="宋体" w:cs="宋体"/>
                <w:color w:val="auto"/>
              </w:rPr>
              <w:t xml:space="preserve"> </w:t>
            </w:r>
            <w:r>
              <w:rPr>
                <w:rFonts w:hint="eastAsia" w:ascii="宋体" w:hAnsi="宋体" w:cs="宋体"/>
                <w:color w:val="auto"/>
              </w:rPr>
              <w:t>供应商应具备《政府采购法》第二十二条规定的条件</w:t>
            </w:r>
            <w:r>
              <w:rPr>
                <w:rFonts w:hint="eastAsia" w:ascii="宋体" w:hAnsi="宋体" w:cs="宋体"/>
                <w:color w:val="auto"/>
                <w:lang w:eastAsia="zh-CN"/>
              </w:rPr>
              <w:t>：</w:t>
            </w:r>
          </w:p>
          <w:p>
            <w:pPr>
              <w:keepNext w:val="0"/>
              <w:keepLines w:val="0"/>
              <w:widowControl/>
              <w:numPr>
                <w:ilvl w:val="0"/>
                <w:numId w:val="0"/>
              </w:numPr>
              <w:suppressLineNumbers w:val="0"/>
              <w:spacing w:before="0" w:beforeAutospacing="0" w:after="0" w:afterAutospacing="0"/>
              <w:ind w:left="0" w:right="0"/>
              <w:rPr>
                <w:rFonts w:hint="eastAsia" w:ascii="宋体" w:hAnsi="宋体" w:cs="宋体"/>
                <w:color w:val="auto"/>
              </w:rPr>
            </w:pPr>
            <w:r>
              <w:rPr>
                <w:rFonts w:hint="default" w:ascii="宋体" w:hAnsi="宋体" w:cs="宋体"/>
                <w:color w:val="auto"/>
              </w:rPr>
              <w:t xml:space="preserve"> </w:t>
            </w:r>
            <w:r>
              <w:rPr>
                <w:rFonts w:hint="eastAsia" w:ascii="宋体" w:hAnsi="宋体" w:cs="宋体"/>
                <w:color w:val="auto"/>
              </w:rPr>
              <w:t>1） 提供企业法人营业执照（三证合一证明）证明文件。</w:t>
            </w:r>
          </w:p>
          <w:p>
            <w:pPr>
              <w:keepNext w:val="0"/>
              <w:keepLines w:val="0"/>
              <w:widowControl/>
              <w:numPr>
                <w:ilvl w:val="0"/>
                <w:numId w:val="0"/>
              </w:numPr>
              <w:suppressLineNumbers w:val="0"/>
              <w:spacing w:before="0" w:beforeAutospacing="0" w:after="0" w:afterAutospacing="0"/>
              <w:ind w:left="0" w:right="0"/>
              <w:rPr>
                <w:rFonts w:hint="eastAsia"/>
                <w:color w:val="auto"/>
                <w:sz w:val="21"/>
                <w:lang w:val="en-US" w:eastAsia="zh-CN"/>
              </w:rPr>
            </w:pPr>
            <w:r>
              <w:rPr>
                <w:rFonts w:hint="eastAsia" w:ascii="宋体" w:hAnsi="宋体" w:cs="宋体"/>
                <w:color w:val="auto"/>
              </w:rPr>
              <w:t>2）</w:t>
            </w:r>
            <w:r>
              <w:rPr>
                <w:rFonts w:hint="eastAsia"/>
                <w:color w:val="auto"/>
                <w:sz w:val="21"/>
                <w:lang w:val="en-US" w:eastAsia="zh-CN"/>
              </w:rPr>
              <w:t>提供2018或2019年的财务报告，或提供2019年6月至今任意一个月（至少提供其中任意一个月）的财务报告（提供由会计师事务所出具的审计报告）；或提供银行出具的资信证明；报价人为新注册的，提供2019年6月至今其中任意一个月的财务状况报表复印件。</w:t>
            </w:r>
          </w:p>
          <w:p>
            <w:pPr>
              <w:keepNext w:val="0"/>
              <w:keepLines w:val="0"/>
              <w:widowControl/>
              <w:numPr>
                <w:ilvl w:val="0"/>
                <w:numId w:val="0"/>
              </w:numPr>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3） 提供2019年6月至今任意一个月（至少提供其中任意一个月）缴纳税收和社保的凭证。如依法免税或不需要缴纳社会保障资金的，应提供相应文件证明。</w:t>
            </w:r>
          </w:p>
          <w:p>
            <w:pPr>
              <w:keepNext w:val="0"/>
              <w:keepLines w:val="0"/>
              <w:widowControl/>
              <w:numPr>
                <w:ilvl w:val="0"/>
                <w:numId w:val="0"/>
              </w:numPr>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4） 提供为本项目服务的设备清单以及技术人员的名单材料。</w:t>
            </w:r>
          </w:p>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5） 提供参加政府采购活动前3年内在经营活动中没有重大违法记录的书面声明。</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cs="宋体"/>
                <w:color w:val="auto"/>
                <w:lang w:val="en-US" w:eastAsia="zh-CN"/>
              </w:rPr>
              <w:t>（2）</w:t>
            </w:r>
            <w:r>
              <w:rPr>
                <w:rFonts w:hint="eastAsia" w:ascii="宋体" w:cs="宋体"/>
                <w:color w:val="auto"/>
              </w:rPr>
              <w:t>投标人必须是在中华人民共和国境内注册的具有独立承担民事责任能力的法人或其他组织，具有从事本项目的经营范围和能力。</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cs="宋体"/>
                <w:color w:val="auto"/>
                <w:lang w:val="en-US" w:eastAsia="zh-CN"/>
              </w:rPr>
              <w:t>（3）</w:t>
            </w:r>
            <w:r>
              <w:rPr>
                <w:rFonts w:hint="eastAsia" w:ascii="宋体" w:hAnsi="宋体"/>
                <w:color w:val="auto"/>
                <w:sz w:val="21"/>
                <w:szCs w:val="21"/>
                <w:highlight w:val="none"/>
              </w:rPr>
              <w:t>供应商未被列入“信用中国”网站(www.creditchina.gov.cn)“失信被执行人或重大税收违法案件当事人名单”记录名单；不处于中国政府采购网(www.ccgp.gov.cn)“政府采购严重违法失信行为信息记录”中的禁止参加政府采购活动期间。【以在“信用中国”网站以及中国政府采购网查询结果为准，如查询结果显示“没查到您要的信息”，视为没有上述不良信用记录,如相关失信记录已失效，投标人需提供相关证明资料】，提供查询结果截图证明；</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color w:val="auto"/>
              </w:rPr>
            </w:pPr>
            <w:r>
              <w:rPr>
                <w:rFonts w:hint="eastAsia"/>
                <w:color w:val="auto"/>
                <w:lang w:val="en-US" w:eastAsia="zh-CN"/>
              </w:rPr>
              <w:t>（4）</w:t>
            </w:r>
            <w:r>
              <w:rPr>
                <w:rFonts w:hint="eastAsia" w:ascii="宋体" w:hAnsi="宋体" w:cs="宋体"/>
                <w:color w:val="auto"/>
                <w:szCs w:val="21"/>
                <w:lang w:val="en-US" w:eastAsia="zh-CN"/>
              </w:rPr>
              <w:t>为采购项目提供整体设计、规范编制或者项目管理、监理、检测等服务的供应商，不得再参加该采购项目的其他采购活动。（提供《承诺函》）</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5）单位负责人为同一人或者存在直接控股、管理关系的不同供应商，不得参加同一合同项下的政府采购活动。（以国家企业信用信息公示系统www.gsxt.gov.cn查询结果为准）；</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cs="宋体"/>
                <w:color w:val="auto"/>
                <w:szCs w:val="21"/>
                <w:lang w:eastAsia="zh-CN"/>
              </w:rPr>
              <w:t>）本项目不接受联合体投标。</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具备招标文件中规定资格要求的及资格证明文件齐全；</w:t>
            </w:r>
          </w:p>
        </w:tc>
        <w:tc>
          <w:tcPr>
            <w:tcW w:w="1881" w:type="dxa"/>
            <w:tcBorders>
              <w:top w:val="outset" w:color="111111" w:sz="6" w:space="0"/>
              <w:left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投标函已提交并符合招标文件要求的；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响应供应商按招标文件要求缴纳投标保证金的；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按照招标文件规定要求签署、盖章且响应文件有法定代表人签字，或签字人有法定代表人有效授权书的；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line="480" w:lineRule="exact"/>
              <w:ind w:left="0" w:right="0"/>
              <w:rPr>
                <w:rFonts w:hint="default" w:ascii="宋体" w:cs="宋体"/>
                <w:color w:val="auto"/>
              </w:rPr>
            </w:pPr>
            <w:r>
              <w:rPr>
                <w:rFonts w:hint="eastAsia" w:ascii="宋体" w:hAnsi="宋体" w:eastAsia="宋体" w:cs="宋体"/>
                <w:kern w:val="0"/>
                <w:sz w:val="21"/>
                <w:szCs w:val="21"/>
                <w:lang w:val="en-US" w:eastAsia="zh-CN" w:bidi="ar"/>
              </w:rPr>
              <w:t>首次报价未超过本项目的最高限价的；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响应文件完全满足招标文件中标注★号条款无不响应或负偏离的；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响应文件没有招标文件中规定的其它无效投标条款的；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8"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按有关法律、法规、规章不属于投标无效的。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bl>
    <w:p>
      <w:pPr>
        <w:pStyle w:val="12"/>
        <w:spacing w:after="0" w:line="360" w:lineRule="auto"/>
        <w:rPr>
          <w:rFonts w:hint="eastAsia" w:ascii="宋体" w:hAnsi="宋体"/>
          <w:color w:val="auto"/>
          <w:sz w:val="21"/>
          <w:szCs w:val="21"/>
        </w:rPr>
      </w:pPr>
    </w:p>
    <w:p>
      <w:pPr>
        <w:pStyle w:val="12"/>
        <w:keepNext w:val="0"/>
        <w:keepLines w:val="0"/>
        <w:pageBreakBefore w:val="0"/>
        <w:widowControl/>
        <w:kinsoku/>
        <w:wordWrap/>
        <w:overflowPunct/>
        <w:topLinePunct w:val="0"/>
        <w:autoSpaceDE/>
        <w:autoSpaceDN/>
        <w:bidi w:val="0"/>
        <w:spacing w:after="0" w:line="480" w:lineRule="auto"/>
        <w:textAlignment w:val="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2"/>
        <w:keepNext w:val="0"/>
        <w:keepLines w:val="0"/>
        <w:pageBreakBefore w:val="0"/>
        <w:widowControl/>
        <w:kinsoku/>
        <w:wordWrap/>
        <w:overflowPunct/>
        <w:topLinePunct w:val="0"/>
        <w:autoSpaceDE/>
        <w:autoSpaceDN/>
        <w:bidi w:val="0"/>
        <w:spacing w:after="0" w:line="480" w:lineRule="auto"/>
        <w:textAlignment w:val="auto"/>
        <w:rPr>
          <w:rFonts w:ascii="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keepNext w:val="0"/>
        <w:keepLines w:val="0"/>
        <w:pageBreakBefore w:val="0"/>
        <w:widowControl/>
        <w:tabs>
          <w:tab w:val="left" w:pos="800"/>
          <w:tab w:val="left" w:pos="1000"/>
        </w:tabs>
        <w:kinsoku/>
        <w:wordWrap/>
        <w:overflowPunct/>
        <w:topLinePunct w:val="0"/>
        <w:autoSpaceDE/>
        <w:autoSpaceDN/>
        <w:bidi w:val="0"/>
        <w:spacing w:line="480" w:lineRule="auto"/>
        <w:jc w:val="both"/>
        <w:textAlignment w:val="auto"/>
        <w:rPr>
          <w:rFonts w:hAnsi="宋体"/>
          <w:color w:val="auto"/>
          <w:szCs w:val="21"/>
        </w:rPr>
        <w:sectPr>
          <w:headerReference r:id="rId17" w:type="default"/>
          <w:footerReference r:id="rId18"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7"/>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3"/>
              <w:keepNext w:val="0"/>
              <w:keepLines w:val="0"/>
              <w:suppressLineNumbers w:val="0"/>
              <w:spacing w:before="0" w:beforeAutospacing="0" w:after="0" w:afterAutospacing="0" w:line="360" w:lineRule="auto"/>
              <w:ind w:left="0" w:right="0"/>
              <w:rPr>
                <w:rFonts w:hint="default" w:ascii="宋体"/>
                <w:color w:val="auto"/>
                <w:sz w:val="21"/>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b/>
                <w:bCs/>
                <w:i/>
                <w:iCs/>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b/>
                <w:bCs/>
                <w:i/>
                <w:iCs/>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0" w:leftChars="-81" w:right="0" w:firstLine="420" w:firstLineChars="200"/>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2"/>
              <w:keepNext w:val="0"/>
              <w:keepLines w:val="0"/>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keepNext w:val="0"/>
              <w:keepLines w:val="0"/>
              <w:widowControl/>
              <w:suppressLineNumbers w:val="0"/>
              <w:spacing w:before="0" w:beforeAutospacing="0" w:after="0" w:afterAutospacing="0" w:line="360" w:lineRule="auto"/>
              <w:ind w:left="-65" w:leftChars="-31" w:right="0"/>
              <w:rPr>
                <w:rFonts w:hint="default" w:ascii="宋体"/>
                <w:color w:val="auto"/>
                <w:szCs w:val="21"/>
              </w:rPr>
            </w:pPr>
            <w:r>
              <w:rPr>
                <w:rFonts w:hint="eastAsia" w:ascii="宋体" w:hAnsi="宋体"/>
                <w:color w:val="auto"/>
                <w:szCs w:val="21"/>
              </w:rPr>
              <w:t>注：报价人应分别结合磋商文件第二部分报价人须知中《</w:t>
            </w:r>
            <w:r>
              <w:rPr>
                <w:rFonts w:hint="eastAsia" w:ascii="宋体" w:hAnsi="宋体"/>
                <w:color w:val="auto"/>
                <w:szCs w:val="21"/>
                <w:lang w:eastAsia="zh-CN"/>
              </w:rPr>
              <w:t>技术商务</w:t>
            </w:r>
            <w:r>
              <w:rPr>
                <w:rFonts w:hint="eastAsia" w:ascii="宋体" w:hAnsi="宋体"/>
                <w:color w:val="auto"/>
                <w:szCs w:val="21"/>
              </w:rPr>
              <w:t>打分表》的内容，列出评审分项在报价文件所在位置，以便查对。</w:t>
            </w:r>
          </w:p>
        </w:tc>
      </w:tr>
    </w:tbl>
    <w:p>
      <w:pPr>
        <w:pStyle w:val="4"/>
        <w:numPr>
          <w:ilvl w:val="0"/>
          <w:numId w:val="0"/>
        </w:numPr>
        <w:spacing w:before="360" w:after="120"/>
        <w:rPr>
          <w:rFonts w:hAnsi="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line="480" w:lineRule="auto"/>
        <w:textAlignment w:val="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auto"/>
        <w:textAlignment w:val="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auto"/>
        <w:textAlignment w:val="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b/>
          <w:color w:val="auto"/>
          <w:sz w:val="36"/>
        </w:rPr>
      </w:pPr>
    </w:p>
    <w:p>
      <w:pPr>
        <w:pStyle w:val="15"/>
        <w:spacing w:line="480" w:lineRule="exact"/>
        <w:jc w:val="center"/>
        <w:rPr>
          <w:b/>
          <w:color w:val="auto"/>
          <w:sz w:val="36"/>
        </w:rPr>
      </w:pPr>
    </w:p>
    <w:p>
      <w:pPr>
        <w:pStyle w:val="15"/>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3"/>
        <w:spacing w:line="480" w:lineRule="exact"/>
        <w:rPr>
          <w:color w:val="auto"/>
          <w:sz w:val="32"/>
          <w:szCs w:val="32"/>
        </w:rPr>
      </w:pPr>
      <w:r>
        <w:rPr>
          <w:color w:val="auto"/>
        </w:rPr>
        <w:br w:type="page"/>
      </w:r>
      <w:bookmarkStart w:id="35" w:name="_Hlt10519799"/>
      <w:bookmarkEnd w:id="35"/>
      <w:bookmarkStart w:id="36" w:name="_Toc42951051"/>
      <w:r>
        <w:rPr>
          <w:color w:val="auto"/>
          <w:sz w:val="32"/>
          <w:szCs w:val="32"/>
        </w:rPr>
        <w:t>1</w:t>
      </w:r>
      <w:r>
        <w:rPr>
          <w:rFonts w:hint="eastAsia"/>
          <w:color w:val="auto"/>
          <w:sz w:val="32"/>
          <w:szCs w:val="32"/>
        </w:rPr>
        <w:t>．报</w:t>
      </w:r>
      <w:bookmarkStart w:id="37" w:name="_Hlt10519308"/>
      <w:bookmarkEnd w:id="37"/>
      <w:r>
        <w:rPr>
          <w:rFonts w:hint="eastAsia"/>
          <w:color w:val="auto"/>
          <w:sz w:val="32"/>
          <w:szCs w:val="32"/>
        </w:rPr>
        <w:t>价文件格式</w:t>
      </w:r>
      <w:bookmarkEnd w:id="36"/>
      <w:bookmarkStart w:id="38" w:name="_Hlt10456397"/>
      <w:bookmarkEnd w:id="38"/>
    </w:p>
    <w:p>
      <w:pPr>
        <w:pStyle w:val="15"/>
        <w:spacing w:line="480" w:lineRule="exact"/>
        <w:ind w:left="420" w:leftChars="200"/>
        <w:rPr>
          <w:b/>
          <w:color w:val="auto"/>
        </w:rPr>
      </w:pPr>
    </w:p>
    <w:p>
      <w:pPr>
        <w:pStyle w:val="15"/>
        <w:spacing w:line="480" w:lineRule="exact"/>
        <w:ind w:left="420" w:leftChars="200"/>
        <w:rPr>
          <w:b/>
          <w:color w:val="auto"/>
        </w:rPr>
      </w:pPr>
      <w:r>
        <w:rPr>
          <w:rFonts w:hint="eastAsia"/>
          <w:b/>
          <w:color w:val="auto"/>
        </w:rPr>
        <w:t>附表</w:t>
      </w:r>
      <w:r>
        <w:rPr>
          <w:b/>
          <w:color w:val="auto"/>
        </w:rPr>
        <w:t xml:space="preserve">1.1  </w:t>
      </w:r>
    </w:p>
    <w:p>
      <w:pPr>
        <w:pStyle w:val="15"/>
        <w:spacing w:line="480" w:lineRule="exact"/>
        <w:jc w:val="center"/>
        <w:rPr>
          <w:b/>
          <w:color w:val="auto"/>
          <w:sz w:val="24"/>
        </w:rPr>
      </w:pPr>
      <w:r>
        <w:rPr>
          <w:rFonts w:hint="eastAsia"/>
          <w:b/>
          <w:color w:val="auto"/>
          <w:sz w:val="24"/>
        </w:rPr>
        <w:t>报价总表</w:t>
      </w:r>
    </w:p>
    <w:p>
      <w:pPr>
        <w:pStyle w:val="15"/>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5"/>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lang w:val="en-US" w:eastAsia="zh-CN"/>
        </w:rPr>
        <w:t xml:space="preserve">     </w:t>
      </w:r>
      <w:r>
        <w:rPr>
          <w:rFonts w:hint="eastAsia"/>
          <w:color w:val="auto"/>
          <w:szCs w:val="21"/>
          <w:lang w:eastAsia="zh-CN"/>
        </w:rPr>
        <w:t xml:space="preserve">采购项目编号：445381-202005-81327002-0002 </w:t>
      </w:r>
    </w:p>
    <w:tbl>
      <w:tblPr>
        <w:tblStyle w:val="27"/>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hAnsi="宋体"/>
                <w:color w:val="auto"/>
              </w:rPr>
              <w:t>磋商总报价（人民币</w:t>
            </w:r>
            <w:r>
              <w:rPr>
                <w:rFonts w:hint="default"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hAnsi="宋体"/>
                <w:color w:val="auto"/>
                <w:lang w:eastAsia="zh-CN"/>
              </w:rPr>
              <w:t>服务</w:t>
            </w:r>
            <w:r>
              <w:rPr>
                <w:rFonts w:hint="eastAsia" w:ascii="宋体" w:hAnsi="宋体"/>
                <w:color w:val="auto"/>
              </w:rPr>
              <w:t>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default" w:ascii="宋体" w:hAnsi="宋体"/>
                <w:color w:val="auto"/>
              </w:rPr>
              <w:t>1</w:t>
            </w:r>
          </w:p>
        </w:tc>
        <w:tc>
          <w:tcPr>
            <w:tcW w:w="2902" w:type="dxa"/>
            <w:tcBorders>
              <w:top w:val="single" w:color="auto" w:sz="6" w:space="0"/>
              <w:left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2844" w:type="dxa"/>
            <w:tcBorders>
              <w:top w:val="single" w:color="auto" w:sz="6" w:space="0"/>
              <w:left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both"/>
              <w:rPr>
                <w:rFonts w:hint="default" w:ascii="宋体"/>
                <w:b/>
                <w:color w:val="auto"/>
              </w:rPr>
            </w:pPr>
            <w:r>
              <w:rPr>
                <w:rFonts w:hint="eastAsia" w:ascii="宋体" w:hAnsi="宋体"/>
                <w:b/>
                <w:color w:val="auto"/>
              </w:rPr>
              <w:t>大写：</w:t>
            </w:r>
          </w:p>
          <w:p>
            <w:pPr>
              <w:keepNext w:val="0"/>
              <w:keepLines w:val="0"/>
              <w:widowControl/>
              <w:suppressLineNumbers w:val="0"/>
              <w:autoSpaceDE w:val="0"/>
              <w:autoSpaceDN w:val="0"/>
              <w:adjustRightInd w:val="0"/>
              <w:spacing w:before="0" w:beforeAutospacing="0" w:after="0" w:afterAutospacing="0" w:line="480" w:lineRule="exact"/>
              <w:ind w:left="0" w:right="0"/>
              <w:jc w:val="both"/>
              <w:rPr>
                <w:rFonts w:hint="default" w:ascii="宋体"/>
                <w:b/>
                <w:color w:val="auto"/>
              </w:rPr>
            </w:pPr>
            <w:r>
              <w:rPr>
                <w:rFonts w:hint="eastAsia" w:ascii="宋体" w:hAnsi="宋体"/>
                <w:b/>
                <w:color w:val="auto"/>
              </w:rPr>
              <w:t>小写：</w:t>
            </w:r>
          </w:p>
        </w:tc>
      </w:tr>
    </w:tbl>
    <w:p>
      <w:pPr>
        <w:pStyle w:val="15"/>
        <w:keepNext w:val="0"/>
        <w:keepLines w:val="0"/>
        <w:pageBreakBefore w:val="0"/>
        <w:kinsoku/>
        <w:wordWrap/>
        <w:overflowPunct/>
        <w:topLinePunct w:val="0"/>
        <w:bidi w:val="0"/>
        <w:snapToGrid/>
        <w:spacing w:line="480" w:lineRule="auto"/>
        <w:textAlignment w:val="auto"/>
        <w:rPr>
          <w:rFonts w:hint="eastAsia"/>
          <w:color w:val="auto"/>
        </w:rPr>
      </w:pPr>
    </w:p>
    <w:p>
      <w:pPr>
        <w:pStyle w:val="15"/>
        <w:keepNext w:val="0"/>
        <w:keepLines w:val="0"/>
        <w:pageBreakBefore w:val="0"/>
        <w:kinsoku/>
        <w:wordWrap/>
        <w:overflowPunct/>
        <w:topLinePunct w:val="0"/>
        <w:bidi w:val="0"/>
        <w:snapToGrid/>
        <w:spacing w:line="480" w:lineRule="auto"/>
        <w:textAlignment w:val="auto"/>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5"/>
        <w:keepNext w:val="0"/>
        <w:keepLines w:val="0"/>
        <w:pageBreakBefore w:val="0"/>
        <w:kinsoku/>
        <w:wordWrap/>
        <w:overflowPunct/>
        <w:topLinePunct w:val="0"/>
        <w:bidi w:val="0"/>
        <w:snapToGrid/>
        <w:spacing w:line="480" w:lineRule="auto"/>
        <w:ind w:left="735" w:hanging="735"/>
        <w:textAlignment w:val="auto"/>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5"/>
        <w:keepNext w:val="0"/>
        <w:keepLines w:val="0"/>
        <w:pageBreakBefore w:val="0"/>
        <w:kinsoku/>
        <w:wordWrap/>
        <w:overflowPunct/>
        <w:topLinePunct w:val="0"/>
        <w:bidi w:val="0"/>
        <w:snapToGrid/>
        <w:spacing w:line="480" w:lineRule="auto"/>
        <w:ind w:left="735" w:hanging="735"/>
        <w:textAlignment w:val="auto"/>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5"/>
        <w:keepNext w:val="0"/>
        <w:keepLines w:val="0"/>
        <w:pageBreakBefore w:val="0"/>
        <w:kinsoku/>
        <w:wordWrap/>
        <w:overflowPunct/>
        <w:topLinePunct w:val="0"/>
        <w:bidi w:val="0"/>
        <w:snapToGrid/>
        <w:spacing w:line="480" w:lineRule="auto"/>
        <w:ind w:left="735" w:hanging="735"/>
        <w:textAlignment w:val="auto"/>
        <w:rPr>
          <w:rFonts w:ascii="Tahoma" w:hAnsi="Tahoma" w:cs="Tahoma"/>
          <w:color w:val="auto"/>
        </w:rPr>
      </w:pPr>
    </w:p>
    <w:p>
      <w:pPr>
        <w:keepNext w:val="0"/>
        <w:keepLines w:val="0"/>
        <w:pageBreakBefore w:val="0"/>
        <w:tabs>
          <w:tab w:val="left" w:pos="676"/>
          <w:tab w:val="left" w:pos="2330"/>
          <w:tab w:val="left" w:pos="9230"/>
        </w:tabs>
        <w:kinsoku/>
        <w:wordWrap/>
        <w:overflowPunct/>
        <w:topLinePunct w:val="0"/>
        <w:autoSpaceDE w:val="0"/>
        <w:autoSpaceDN w:val="0"/>
        <w:bidi w:val="0"/>
        <w:adjustRightInd w:val="0"/>
        <w:snapToGrid/>
        <w:spacing w:line="480" w:lineRule="auto"/>
        <w:ind w:left="4700" w:leftChars="2238"/>
        <w:textAlignment w:val="auto"/>
        <w:rPr>
          <w:rFonts w:ascii="Tahoma" w:hAnsi="Tahoma" w:cs="Tahoma"/>
          <w:color w:val="auto"/>
        </w:rPr>
      </w:pPr>
      <w:r>
        <w:rPr>
          <w:rFonts w:hint="eastAsia" w:ascii="Tahoma" w:hAnsi="Tahoma" w:cs="Tahoma"/>
          <w:color w:val="auto"/>
        </w:rPr>
        <w:t>报价人（公章）：</w:t>
      </w:r>
    </w:p>
    <w:p>
      <w:pPr>
        <w:keepNext w:val="0"/>
        <w:keepLines w:val="0"/>
        <w:pageBreakBefore w:val="0"/>
        <w:tabs>
          <w:tab w:val="left" w:pos="676"/>
          <w:tab w:val="left" w:pos="2330"/>
          <w:tab w:val="left" w:pos="9230"/>
        </w:tabs>
        <w:kinsoku/>
        <w:wordWrap/>
        <w:overflowPunct/>
        <w:topLinePunct w:val="0"/>
        <w:autoSpaceDE w:val="0"/>
        <w:autoSpaceDN w:val="0"/>
        <w:bidi w:val="0"/>
        <w:adjustRightInd w:val="0"/>
        <w:snapToGrid/>
        <w:spacing w:line="480" w:lineRule="auto"/>
        <w:ind w:left="4700" w:leftChars="2238"/>
        <w:textAlignment w:val="auto"/>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签章</w:t>
      </w:r>
      <w:r>
        <w:rPr>
          <w:rFonts w:hint="eastAsia" w:ascii="Tahoma" w:hAnsi="Tahoma" w:cs="Tahoma"/>
          <w:color w:val="auto"/>
        </w:rPr>
        <w:t>）：</w:t>
      </w:r>
    </w:p>
    <w:p>
      <w:pPr>
        <w:pStyle w:val="15"/>
        <w:keepNext w:val="0"/>
        <w:keepLines w:val="0"/>
        <w:pageBreakBefore w:val="0"/>
        <w:kinsoku/>
        <w:wordWrap/>
        <w:overflowPunct/>
        <w:topLinePunct w:val="0"/>
        <w:bidi w:val="0"/>
        <w:snapToGrid/>
        <w:spacing w:line="480" w:lineRule="auto"/>
        <w:ind w:left="4700" w:leftChars="2238"/>
        <w:textAlignment w:val="auto"/>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5"/>
        <w:spacing w:line="360" w:lineRule="auto"/>
        <w:ind w:left="4700" w:leftChars="2238"/>
        <w:rPr>
          <w:color w:val="auto"/>
        </w:rPr>
      </w:pPr>
      <w:r>
        <w:rPr>
          <w:color w:val="auto"/>
        </w:rPr>
        <w:br w:type="page"/>
      </w:r>
    </w:p>
    <w:p>
      <w:pPr>
        <w:pStyle w:val="15"/>
        <w:spacing w:line="480" w:lineRule="exact"/>
        <w:ind w:left="4700" w:hanging="4699" w:hangingChars="2238"/>
        <w:rPr>
          <w:color w:val="auto"/>
        </w:rPr>
      </w:pPr>
      <w:r>
        <w:rPr>
          <w:rFonts w:hint="eastAsia"/>
          <w:color w:val="auto"/>
        </w:rPr>
        <w:t>附表</w:t>
      </w:r>
      <w:r>
        <w:rPr>
          <w:color w:val="auto"/>
        </w:rPr>
        <w:t>1.2</w:t>
      </w:r>
    </w:p>
    <w:p>
      <w:pPr>
        <w:pStyle w:val="15"/>
        <w:spacing w:line="480" w:lineRule="exact"/>
        <w:ind w:left="720" w:hanging="720"/>
        <w:jc w:val="center"/>
        <w:rPr>
          <w:b/>
          <w:color w:val="auto"/>
          <w:sz w:val="24"/>
          <w:u w:val="single"/>
        </w:rPr>
      </w:pPr>
      <w:bookmarkStart w:id="39" w:name="OLE_LINK15"/>
      <w:r>
        <w:rPr>
          <w:rFonts w:hint="eastAsia"/>
          <w:b/>
          <w:color w:val="auto"/>
          <w:sz w:val="24"/>
        </w:rPr>
        <w:t>投标报价明细表</w:t>
      </w:r>
    </w:p>
    <w:p>
      <w:pPr>
        <w:pStyle w:val="15"/>
        <w:spacing w:line="480" w:lineRule="exact"/>
        <w:ind w:left="720" w:hanging="720"/>
        <w:jc w:val="center"/>
        <w:rPr>
          <w:color w:val="auto"/>
          <w:sz w:val="24"/>
        </w:rPr>
      </w:pPr>
      <w:r>
        <w:rPr>
          <w:color w:val="auto"/>
        </w:rPr>
        <w:t>[</w:t>
      </w:r>
      <w:r>
        <w:rPr>
          <w:rFonts w:hint="eastAsia"/>
          <w:color w:val="auto"/>
        </w:rPr>
        <w:t>货币单位：人民币元</w:t>
      </w:r>
      <w:r>
        <w:rPr>
          <w:color w:val="auto"/>
        </w:rPr>
        <w:t>]</w:t>
      </w:r>
    </w:p>
    <w:p>
      <w:pPr>
        <w:pStyle w:val="15"/>
        <w:spacing w:line="480" w:lineRule="exact"/>
        <w:rPr>
          <w:rFonts w:hint="default" w:eastAsia="宋体"/>
          <w:color w:val="auto"/>
          <w:lang w:val="en-US" w:eastAsia="zh-CN"/>
        </w:rPr>
      </w:pPr>
      <w:r>
        <w:rPr>
          <w:rFonts w:hint="eastAsia"/>
          <w:color w:val="auto"/>
        </w:rPr>
        <w:t>报价人名称：</w:t>
      </w:r>
      <w:r>
        <w:rPr>
          <w:color w:val="auto"/>
        </w:rPr>
        <w:t xml:space="preserve"> </w:t>
      </w:r>
      <w:r>
        <w:rPr>
          <w:rFonts w:hint="eastAsia"/>
          <w:color w:val="auto"/>
          <w:lang w:val="en-US" w:eastAsia="zh-CN"/>
        </w:rPr>
        <w:t xml:space="preserve">                               </w:t>
      </w:r>
      <w:r>
        <w:rPr>
          <w:rFonts w:hint="eastAsia"/>
          <w:color w:val="auto"/>
          <w:szCs w:val="21"/>
          <w:lang w:eastAsia="zh-CN"/>
        </w:rPr>
        <w:t>采购项目编号：445381-202005-81327002-0002</w:t>
      </w:r>
    </w:p>
    <w:bookmarkEnd w:id="39"/>
    <w:tbl>
      <w:tblPr>
        <w:tblStyle w:val="27"/>
        <w:tblW w:w="9190" w:type="dxa"/>
        <w:jc w:val="center"/>
        <w:tblLayout w:type="fixed"/>
        <w:tblCellMar>
          <w:top w:w="0" w:type="dxa"/>
          <w:left w:w="30" w:type="dxa"/>
          <w:bottom w:w="0" w:type="dxa"/>
          <w:right w:w="30" w:type="dxa"/>
        </w:tblCellMar>
      </w:tblPr>
      <w:tblGrid>
        <w:gridCol w:w="400"/>
        <w:gridCol w:w="955"/>
        <w:gridCol w:w="1163"/>
        <w:gridCol w:w="1017"/>
        <w:gridCol w:w="1998"/>
        <w:gridCol w:w="705"/>
        <w:gridCol w:w="630"/>
        <w:gridCol w:w="720"/>
        <w:gridCol w:w="765"/>
        <w:gridCol w:w="837"/>
      </w:tblGrid>
      <w:tr>
        <w:tblPrEx>
          <w:tblCellMar>
            <w:top w:w="0" w:type="dxa"/>
            <w:left w:w="30" w:type="dxa"/>
            <w:bottom w:w="0" w:type="dxa"/>
            <w:right w:w="30" w:type="dxa"/>
          </w:tblCellMar>
        </w:tblPrEx>
        <w:trPr>
          <w:cantSplit/>
          <w:trHeight w:val="390" w:hRule="atLeast"/>
          <w:jc w:val="center"/>
        </w:trPr>
        <w:tc>
          <w:tcPr>
            <w:tcW w:w="400" w:type="dxa"/>
            <w:vMerge w:val="restart"/>
            <w:tcBorders>
              <w:top w:val="single" w:color="auto" w:sz="6" w:space="0"/>
              <w:left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rPr>
              <w:t>序号</w:t>
            </w:r>
          </w:p>
        </w:tc>
        <w:tc>
          <w:tcPr>
            <w:tcW w:w="95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hAnsi="Times New Roman" w:cs="Times New Roman"/>
                <w:color w:val="auto"/>
              </w:rPr>
            </w:pPr>
            <w:r>
              <w:rPr>
                <w:rFonts w:hint="eastAsia" w:ascii="宋体" w:hAnsi="Times New Roman" w:cs="Times New Roman"/>
                <w:color w:val="auto"/>
              </w:rPr>
              <w:t>1</w:t>
            </w: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hAnsi="Times New Roman" w:eastAsia="宋体" w:cs="Times New Roman"/>
                <w:color w:val="auto"/>
                <w:lang w:val="en-US" w:eastAsia="zh-CN"/>
              </w:rPr>
            </w:pPr>
            <w:r>
              <w:rPr>
                <w:rFonts w:hint="eastAsia" w:ascii="宋体" w:hAnsi="Times New Roman" w:cs="Times New Roman"/>
                <w:color w:val="auto"/>
                <w:lang w:val="en-US" w:eastAsia="zh-CN"/>
              </w:rPr>
              <w:t>2</w:t>
            </w:r>
          </w:p>
        </w:tc>
        <w:tc>
          <w:tcPr>
            <w:tcW w:w="19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rPr>
              <w:t>3</w:t>
            </w:r>
          </w:p>
        </w:tc>
        <w:tc>
          <w:tcPr>
            <w:tcW w:w="70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color w:val="auto"/>
              </w:rPr>
              <w:t>4</w:t>
            </w:r>
          </w:p>
        </w:tc>
        <w:tc>
          <w:tcPr>
            <w:tcW w:w="6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rPr>
              <w:t>5</w:t>
            </w:r>
          </w:p>
        </w:tc>
        <w:tc>
          <w:tcPr>
            <w:tcW w:w="720" w:type="dxa"/>
            <w:tcBorders>
              <w:top w:val="single" w:color="auto" w:sz="6" w:space="0"/>
              <w:left w:val="single" w:color="auto" w:sz="6" w:space="0"/>
              <w:bottom w:val="single" w:color="auto" w:sz="6" w:space="0"/>
              <w:right w:val="single" w:color="auto" w:sz="6" w:space="0"/>
            </w:tcBorders>
            <w:vAlign w:val="center"/>
          </w:tcPr>
          <w:p>
            <w:pPr>
              <w:pStyle w:val="15"/>
              <w:keepNext w:val="0"/>
              <w:keepLines w:val="0"/>
              <w:suppressLineNumbers w:val="0"/>
              <w:spacing w:before="0" w:beforeAutospacing="0" w:after="0" w:afterAutospacing="0" w:line="480" w:lineRule="exact"/>
              <w:ind w:left="0" w:right="0"/>
              <w:jc w:val="center"/>
              <w:rPr>
                <w:rFonts w:hint="default" w:eastAsia="宋体"/>
                <w:color w:val="auto"/>
                <w:lang w:val="en-US" w:eastAsia="zh-CN"/>
              </w:rPr>
            </w:pPr>
            <w:r>
              <w:rPr>
                <w:rFonts w:hint="eastAsia"/>
                <w:color w:val="auto"/>
                <w:lang w:val="en-US" w:eastAsia="zh-CN"/>
              </w:rPr>
              <w:t>6</w:t>
            </w:r>
          </w:p>
        </w:tc>
        <w:tc>
          <w:tcPr>
            <w:tcW w:w="7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lang w:val="en-US" w:eastAsia="zh-CN"/>
              </w:rPr>
              <w:t>7</w:t>
            </w:r>
            <w:r>
              <w:rPr>
                <w:rFonts w:hint="eastAsia" w:ascii="宋体"/>
                <w:color w:val="auto"/>
              </w:rPr>
              <w:t>=</w:t>
            </w:r>
            <w:r>
              <w:rPr>
                <w:rFonts w:hint="eastAsia" w:ascii="宋体"/>
                <w:color w:val="auto"/>
                <w:lang w:val="en-US" w:eastAsia="zh-CN"/>
              </w:rPr>
              <w:t>6*</w:t>
            </w:r>
            <w:r>
              <w:rPr>
                <w:rFonts w:hint="eastAsia" w:ascii="宋体"/>
                <w:color w:val="auto"/>
              </w:rPr>
              <w:t>5</w:t>
            </w:r>
          </w:p>
        </w:tc>
        <w:tc>
          <w:tcPr>
            <w:tcW w:w="83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rPr>
              <w:t>　</w:t>
            </w:r>
          </w:p>
        </w:tc>
      </w:tr>
      <w:tr>
        <w:tblPrEx>
          <w:tblCellMar>
            <w:top w:w="0" w:type="dxa"/>
            <w:left w:w="30" w:type="dxa"/>
            <w:bottom w:w="0" w:type="dxa"/>
            <w:right w:w="30" w:type="dxa"/>
          </w:tblCellMar>
        </w:tblPrEx>
        <w:trPr>
          <w:trHeight w:val="390" w:hRule="atLeast"/>
          <w:jc w:val="center"/>
        </w:trPr>
        <w:tc>
          <w:tcPr>
            <w:tcW w:w="400" w:type="dxa"/>
            <w:vMerge w:val="continue"/>
            <w:tcBorders>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p>
        </w:tc>
        <w:tc>
          <w:tcPr>
            <w:tcW w:w="95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color w:val="auto"/>
              </w:rPr>
              <w:t>名称</w:t>
            </w:r>
          </w:p>
        </w:tc>
        <w:tc>
          <w:tcPr>
            <w:tcW w:w="116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eastAsia="宋体"/>
                <w:color w:val="auto"/>
                <w:lang w:eastAsia="zh-CN"/>
              </w:rPr>
            </w:pPr>
            <w:r>
              <w:rPr>
                <w:rFonts w:hint="eastAsia" w:ascii="宋体"/>
                <w:color w:val="auto"/>
                <w:lang w:eastAsia="zh-CN"/>
              </w:rPr>
              <w:t>模块</w:t>
            </w: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eastAsia="宋体"/>
                <w:color w:val="auto"/>
                <w:lang w:eastAsia="zh-CN"/>
              </w:rPr>
            </w:pPr>
            <w:r>
              <w:rPr>
                <w:rFonts w:hint="eastAsia" w:ascii="宋体"/>
                <w:color w:val="auto"/>
                <w:lang w:eastAsia="zh-CN"/>
              </w:rPr>
              <w:t>功能</w:t>
            </w:r>
          </w:p>
        </w:tc>
        <w:tc>
          <w:tcPr>
            <w:tcW w:w="19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lang w:eastAsia="zh-CN"/>
              </w:rPr>
            </w:pPr>
            <w:r>
              <w:rPr>
                <w:rFonts w:hint="eastAsia" w:ascii="宋体"/>
                <w:color w:val="auto"/>
                <w:lang w:eastAsia="zh-CN"/>
              </w:rPr>
              <w:t>具体功能</w:t>
            </w:r>
          </w:p>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eastAsia="宋体"/>
                <w:color w:val="auto"/>
                <w:lang w:eastAsia="zh-CN"/>
              </w:rPr>
            </w:pPr>
            <w:r>
              <w:rPr>
                <w:rFonts w:hint="eastAsia" w:ascii="宋体"/>
                <w:color w:val="auto"/>
                <w:lang w:eastAsia="zh-CN"/>
              </w:rPr>
              <w:t>参数</w:t>
            </w:r>
          </w:p>
        </w:tc>
        <w:tc>
          <w:tcPr>
            <w:tcW w:w="70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color w:val="auto"/>
              </w:rPr>
              <w:t>单位</w:t>
            </w:r>
          </w:p>
        </w:tc>
        <w:tc>
          <w:tcPr>
            <w:tcW w:w="6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rPr>
              <w:t>数量</w:t>
            </w:r>
          </w:p>
        </w:tc>
        <w:tc>
          <w:tcPr>
            <w:tcW w:w="720" w:type="dxa"/>
            <w:tcBorders>
              <w:top w:val="single" w:color="auto" w:sz="6" w:space="0"/>
              <w:left w:val="single" w:color="auto" w:sz="6" w:space="0"/>
              <w:bottom w:val="single" w:color="auto" w:sz="6" w:space="0"/>
              <w:right w:val="single" w:color="auto" w:sz="6" w:space="0"/>
            </w:tcBorders>
            <w:vAlign w:val="center"/>
          </w:tcPr>
          <w:p>
            <w:pPr>
              <w:pStyle w:val="15"/>
              <w:keepNext w:val="0"/>
              <w:keepLines w:val="0"/>
              <w:suppressLineNumbers w:val="0"/>
              <w:spacing w:before="0" w:beforeAutospacing="0" w:after="0" w:afterAutospacing="0" w:line="480" w:lineRule="exact"/>
              <w:ind w:left="0" w:right="0"/>
              <w:jc w:val="center"/>
              <w:rPr>
                <w:rFonts w:hint="eastAsia"/>
                <w:color w:val="auto"/>
              </w:rPr>
            </w:pPr>
            <w:r>
              <w:rPr>
                <w:rFonts w:hint="eastAsia"/>
                <w:color w:val="auto"/>
              </w:rPr>
              <w:t>单价</w:t>
            </w:r>
          </w:p>
        </w:tc>
        <w:tc>
          <w:tcPr>
            <w:tcW w:w="7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rPr>
              <w:t>总价</w:t>
            </w:r>
          </w:p>
        </w:tc>
        <w:tc>
          <w:tcPr>
            <w:tcW w:w="83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rPr>
              <w:t>备注</w:t>
            </w:r>
          </w:p>
        </w:tc>
      </w:tr>
      <w:tr>
        <w:tblPrEx>
          <w:tblCellMar>
            <w:top w:w="0" w:type="dxa"/>
            <w:left w:w="30" w:type="dxa"/>
            <w:bottom w:w="0" w:type="dxa"/>
            <w:right w:w="30" w:type="dxa"/>
          </w:tblCellMar>
        </w:tblPrEx>
        <w:trPr>
          <w:trHeight w:val="390" w:hRule="atLeast"/>
          <w:jc w:val="center"/>
        </w:trPr>
        <w:tc>
          <w:tcPr>
            <w:tcW w:w="40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color w:val="auto"/>
              </w:rPr>
              <w:t>1</w:t>
            </w:r>
          </w:p>
        </w:tc>
        <w:tc>
          <w:tcPr>
            <w:tcW w:w="95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1998"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70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6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7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83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r>
      <w:tr>
        <w:tblPrEx>
          <w:tblCellMar>
            <w:top w:w="0" w:type="dxa"/>
            <w:left w:w="30" w:type="dxa"/>
            <w:bottom w:w="0" w:type="dxa"/>
            <w:right w:w="30" w:type="dxa"/>
          </w:tblCellMar>
        </w:tblPrEx>
        <w:trPr>
          <w:trHeight w:val="390" w:hRule="atLeast"/>
          <w:jc w:val="center"/>
        </w:trPr>
        <w:tc>
          <w:tcPr>
            <w:tcW w:w="40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color w:val="auto"/>
              </w:rPr>
            </w:pPr>
            <w:r>
              <w:rPr>
                <w:rFonts w:hint="eastAsia" w:ascii="宋体"/>
                <w:color w:val="auto"/>
              </w:rPr>
              <w:t>2</w:t>
            </w:r>
          </w:p>
        </w:tc>
        <w:tc>
          <w:tcPr>
            <w:tcW w:w="95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998"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0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6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83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r>
      <w:tr>
        <w:tblPrEx>
          <w:tblCellMar>
            <w:top w:w="0" w:type="dxa"/>
            <w:left w:w="30" w:type="dxa"/>
            <w:bottom w:w="0" w:type="dxa"/>
            <w:right w:w="30" w:type="dxa"/>
          </w:tblCellMar>
        </w:tblPrEx>
        <w:trPr>
          <w:trHeight w:val="390" w:hRule="atLeast"/>
          <w:jc w:val="center"/>
        </w:trPr>
        <w:tc>
          <w:tcPr>
            <w:tcW w:w="40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b/>
                <w:color w:val="auto"/>
              </w:rPr>
            </w:pPr>
          </w:p>
        </w:tc>
        <w:tc>
          <w:tcPr>
            <w:tcW w:w="95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998"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0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6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83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r>
      <w:tr>
        <w:tblPrEx>
          <w:tblCellMar>
            <w:top w:w="0" w:type="dxa"/>
            <w:left w:w="30" w:type="dxa"/>
            <w:bottom w:w="0" w:type="dxa"/>
            <w:right w:w="30" w:type="dxa"/>
          </w:tblCellMar>
        </w:tblPrEx>
        <w:trPr>
          <w:trHeight w:val="401" w:hRule="atLeast"/>
          <w:jc w:val="center"/>
        </w:trPr>
        <w:tc>
          <w:tcPr>
            <w:tcW w:w="40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b/>
                <w:color w:val="auto"/>
              </w:rPr>
            </w:pPr>
          </w:p>
        </w:tc>
        <w:tc>
          <w:tcPr>
            <w:tcW w:w="95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1998"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0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6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7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c>
          <w:tcPr>
            <w:tcW w:w="83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p>
        </w:tc>
      </w:tr>
    </w:tbl>
    <w:p>
      <w:pPr>
        <w:pStyle w:val="15"/>
        <w:keepNext w:val="0"/>
        <w:keepLines w:val="0"/>
        <w:pageBreakBefore w:val="0"/>
        <w:widowControl w:val="0"/>
        <w:kinsoku/>
        <w:wordWrap/>
        <w:overflowPunct/>
        <w:topLinePunct w:val="0"/>
        <w:autoSpaceDE/>
        <w:autoSpaceDN/>
        <w:bidi w:val="0"/>
        <w:adjustRightInd/>
        <w:snapToGrid/>
        <w:spacing w:line="480" w:lineRule="auto"/>
        <w:ind w:left="735" w:hanging="735"/>
        <w:textAlignment w:val="auto"/>
        <w:rPr>
          <w:rFonts w:hint="eastAsia"/>
          <w:color w:val="auto"/>
        </w:rPr>
      </w:pPr>
    </w:p>
    <w:p>
      <w:pPr>
        <w:pStyle w:val="15"/>
        <w:keepNext w:val="0"/>
        <w:keepLines w:val="0"/>
        <w:pageBreakBefore w:val="0"/>
        <w:widowControl w:val="0"/>
        <w:kinsoku/>
        <w:wordWrap/>
        <w:overflowPunct/>
        <w:topLinePunct w:val="0"/>
        <w:autoSpaceDE/>
        <w:autoSpaceDN/>
        <w:bidi w:val="0"/>
        <w:adjustRightInd/>
        <w:snapToGrid/>
        <w:spacing w:line="480" w:lineRule="auto"/>
        <w:ind w:left="735" w:hanging="735"/>
        <w:textAlignment w:val="auto"/>
        <w:rPr>
          <w:color w:val="auto"/>
        </w:rPr>
      </w:pPr>
      <w:r>
        <w:rPr>
          <w:rFonts w:hint="eastAsia"/>
          <w:color w:val="auto"/>
        </w:rPr>
        <w:t>注：</w:t>
      </w:r>
      <w:r>
        <w:rPr>
          <w:color w:val="auto"/>
        </w:rPr>
        <w:t xml:space="preserve">1. </w:t>
      </w:r>
      <w:r>
        <w:rPr>
          <w:rFonts w:hint="eastAsia"/>
          <w:color w:val="auto"/>
        </w:rPr>
        <w:t>此表乃报价总表之报价明细表。</w:t>
      </w:r>
    </w:p>
    <w:p>
      <w:pPr>
        <w:pStyle w:val="15"/>
        <w:keepNext w:val="0"/>
        <w:keepLines w:val="0"/>
        <w:pageBreakBefore w:val="0"/>
        <w:widowControl w:val="0"/>
        <w:kinsoku/>
        <w:wordWrap/>
        <w:overflowPunct/>
        <w:topLinePunct w:val="0"/>
        <w:autoSpaceDE/>
        <w:autoSpaceDN/>
        <w:bidi w:val="0"/>
        <w:adjustRightInd/>
        <w:snapToGrid/>
        <w:spacing w:line="480" w:lineRule="auto"/>
        <w:ind w:left="735" w:leftChars="200" w:hanging="315" w:hangingChars="150"/>
        <w:textAlignment w:val="auto"/>
        <w:rPr>
          <w:color w:val="auto"/>
        </w:rPr>
      </w:pPr>
      <w:r>
        <w:rPr>
          <w:color w:val="auto"/>
        </w:rPr>
        <w:t>2</w:t>
      </w:r>
      <w:r>
        <w:rPr>
          <w:rFonts w:hint="eastAsia"/>
          <w:color w:val="auto"/>
        </w:rPr>
        <w:t>、</w:t>
      </w:r>
      <w:r>
        <w:rPr>
          <w:rFonts w:hint="eastAsia" w:hAnsi="宋体"/>
          <w:color w:val="auto"/>
          <w:szCs w:val="21"/>
        </w:rPr>
        <w:t>报价人可根据项目方案不限于清单内容进行报价，但不得超出预算。</w:t>
      </w:r>
    </w:p>
    <w:p>
      <w:pPr>
        <w:pStyle w:val="15"/>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color w:val="auto"/>
        </w:rPr>
      </w:pPr>
      <w:r>
        <w:rPr>
          <w:color w:val="auto"/>
        </w:rPr>
        <w:t>3.</w:t>
      </w:r>
      <w:r>
        <w:rPr>
          <w:rFonts w:hint="eastAsia"/>
          <w:color w:val="auto"/>
        </w:rPr>
        <w:t>如果单价和总价不符时，以单价为准，修正总价。</w:t>
      </w:r>
    </w:p>
    <w:p>
      <w:pPr>
        <w:pStyle w:val="15"/>
        <w:keepNext w:val="0"/>
        <w:keepLines w:val="0"/>
        <w:pageBreakBefore w:val="0"/>
        <w:widowControl w:val="0"/>
        <w:kinsoku/>
        <w:wordWrap/>
        <w:overflowPunct/>
        <w:topLinePunct w:val="0"/>
        <w:autoSpaceDE/>
        <w:autoSpaceDN/>
        <w:bidi w:val="0"/>
        <w:adjustRightInd/>
        <w:snapToGrid/>
        <w:spacing w:line="480" w:lineRule="auto"/>
        <w:ind w:left="438" w:leftChars="200" w:hanging="18" w:hangingChars="9"/>
        <w:textAlignment w:val="auto"/>
        <w:rPr>
          <w:color w:val="auto"/>
        </w:rPr>
      </w:pPr>
      <w:r>
        <w:rPr>
          <w:color w:val="auto"/>
        </w:rPr>
        <w:t>4.</w:t>
      </w:r>
      <w:r>
        <w:rPr>
          <w:rFonts w:hint="eastAsia"/>
          <w:color w:val="auto"/>
        </w:rPr>
        <w:t>我方承诺采购人只购买我方所提方案中的部分设备时或设备配置规模变化时，我方承诺方案中所报目录价、折扣、技术服务等方面的优惠条件保持不变。</w:t>
      </w:r>
    </w:p>
    <w:p>
      <w:pPr>
        <w:pStyle w:val="15"/>
        <w:spacing w:line="360" w:lineRule="auto"/>
        <w:rPr>
          <w:color w:val="auto"/>
          <w:sz w:val="36"/>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5"/>
        <w:spacing w:line="480" w:lineRule="exact"/>
        <w:jc w:val="center"/>
        <w:rPr>
          <w:b/>
          <w:color w:val="auto"/>
          <w:sz w:val="36"/>
        </w:rPr>
      </w:pPr>
    </w:p>
    <w:p>
      <w:pPr>
        <w:pStyle w:val="3"/>
        <w:spacing w:line="480" w:lineRule="exact"/>
        <w:rPr>
          <w:color w:val="auto"/>
          <w:sz w:val="32"/>
          <w:szCs w:val="32"/>
        </w:rPr>
      </w:pPr>
      <w:r>
        <w:rPr>
          <w:color w:val="auto"/>
        </w:rPr>
        <w:br w:type="page"/>
      </w:r>
      <w:bookmarkStart w:id="40" w:name="_Hlt10519541"/>
      <w:bookmarkEnd w:id="40"/>
      <w:bookmarkStart w:id="41" w:name="_Toc42951052"/>
      <w:bookmarkStart w:id="42" w:name="_Hlt10456257"/>
      <w:r>
        <w:rPr>
          <w:color w:val="auto"/>
          <w:sz w:val="32"/>
          <w:szCs w:val="32"/>
        </w:rPr>
        <w:t>2</w:t>
      </w:r>
      <w:r>
        <w:rPr>
          <w:rFonts w:hint="eastAsia"/>
          <w:color w:val="auto"/>
          <w:sz w:val="32"/>
          <w:szCs w:val="32"/>
        </w:rPr>
        <w:t>．报价函格式</w:t>
      </w:r>
      <w:bookmarkEnd w:id="41"/>
    </w:p>
    <w:bookmarkEnd w:id="42"/>
    <w:p>
      <w:pPr>
        <w:spacing w:line="480" w:lineRule="exact"/>
        <w:jc w:val="center"/>
        <w:rPr>
          <w:rFonts w:ascii="宋体"/>
          <w:b/>
          <w:color w:val="auto"/>
          <w:sz w:val="32"/>
        </w:rPr>
      </w:pPr>
      <w:r>
        <w:rPr>
          <w:rFonts w:hint="eastAsia" w:ascii="宋体"/>
          <w:b/>
          <w:color w:val="auto"/>
          <w:sz w:val="32"/>
        </w:rPr>
        <w:t>报</w:t>
      </w:r>
      <w:r>
        <w:rPr>
          <w:rFonts w:ascii="宋体"/>
          <w:b/>
          <w:color w:val="auto"/>
          <w:sz w:val="32"/>
        </w:rPr>
        <w:t xml:space="preserve"> </w:t>
      </w:r>
      <w:r>
        <w:rPr>
          <w:rFonts w:hint="eastAsia" w:ascii="宋体"/>
          <w:b/>
          <w:color w:val="auto"/>
          <w:sz w:val="32"/>
        </w:rPr>
        <w:t>价</w:t>
      </w:r>
      <w:r>
        <w:rPr>
          <w:rFonts w:ascii="宋体"/>
          <w:b/>
          <w:color w:val="auto"/>
          <w:sz w:val="32"/>
        </w:rPr>
        <w:t xml:space="preserve"> </w:t>
      </w:r>
      <w:r>
        <w:rPr>
          <w:rFonts w:hint="eastAsia" w:ascii="宋体"/>
          <w:b/>
          <w:color w:val="auto"/>
          <w:sz w:val="32"/>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spacing w:line="480" w:lineRule="exact"/>
        <w:rPr>
          <w:rFonts w:ascii="宋体"/>
          <w:color w:val="auto"/>
        </w:rPr>
      </w:pPr>
      <w:r>
        <w:rPr>
          <w:rFonts w:ascii="宋体"/>
          <w:color w:val="auto"/>
        </w:rPr>
        <w:t xml:space="preserve">     </w:t>
      </w:r>
      <w:r>
        <w:rPr>
          <w:rFonts w:hint="eastAsia" w:ascii="宋体"/>
          <w:color w:val="auto"/>
        </w:rPr>
        <w:t>我方确认收到贵方提供的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货物及服务的磋商文件的全部内容，我方：</w:t>
      </w:r>
      <w:r>
        <w:rPr>
          <w:rFonts w:ascii="宋体"/>
          <w:color w:val="auto"/>
        </w:rPr>
        <w:t>__</w:t>
      </w:r>
      <w:r>
        <w:rPr>
          <w:rFonts w:ascii="宋体"/>
          <w:color w:val="auto"/>
          <w:u w:val="single"/>
        </w:rPr>
        <w:t xml:space="preserve">                 _ </w:t>
      </w:r>
      <w:r>
        <w:rPr>
          <w:rFonts w:ascii="宋体"/>
          <w:color w:val="auto"/>
        </w:rPr>
        <w:t xml:space="preserve"> (</w:t>
      </w:r>
      <w:r>
        <w:rPr>
          <w:rFonts w:hint="eastAsia" w:ascii="宋体"/>
          <w:color w:val="auto"/>
        </w:rPr>
        <w:t>报价人名称</w:t>
      </w:r>
      <w:r>
        <w:rPr>
          <w:rFonts w:ascii="宋体"/>
          <w:color w:val="auto"/>
        </w:rPr>
        <w:t>)</w:t>
      </w:r>
      <w:r>
        <w:rPr>
          <w:rFonts w:hint="eastAsia" w:ascii="宋体"/>
          <w:color w:val="auto"/>
        </w:rPr>
        <w:t>作为报价者正式授权</w:t>
      </w:r>
      <w:r>
        <w:rPr>
          <w:rFonts w:ascii="宋体"/>
          <w:color w:val="auto"/>
          <w:u w:val="single"/>
        </w:rPr>
        <w:t xml:space="preserve">                           </w:t>
      </w:r>
      <w:r>
        <w:rPr>
          <w:rFonts w:ascii="宋体"/>
          <w:color w:val="auto"/>
        </w:rPr>
        <w:t>(</w:t>
      </w:r>
      <w:r>
        <w:rPr>
          <w:rFonts w:hint="eastAsia" w:ascii="宋体"/>
          <w:color w:val="auto"/>
        </w:rPr>
        <w:t>授权代表全名</w:t>
      </w:r>
      <w:r>
        <w:rPr>
          <w:rFonts w:ascii="宋体"/>
          <w:color w:val="auto"/>
        </w:rPr>
        <w:t xml:space="preserve">, </w:t>
      </w:r>
      <w:r>
        <w:rPr>
          <w:rFonts w:hint="eastAsia" w:ascii="宋体"/>
          <w:color w:val="auto"/>
        </w:rPr>
        <w:t>职务</w:t>
      </w:r>
      <w:r>
        <w:rPr>
          <w:rFonts w:ascii="宋体"/>
          <w:color w:val="auto"/>
        </w:rPr>
        <w:t>)</w:t>
      </w:r>
      <w:r>
        <w:rPr>
          <w:rFonts w:hint="eastAsia" w:ascii="宋体"/>
          <w:color w:val="auto"/>
        </w:rPr>
        <w:t>代表我方进行有关本磋商的一切事宜。</w:t>
      </w:r>
    </w:p>
    <w:p>
      <w:pPr>
        <w:spacing w:line="480" w:lineRule="exact"/>
        <w:rPr>
          <w:rFonts w:ascii="宋体"/>
          <w:color w:val="auto"/>
        </w:rPr>
      </w:pPr>
      <w:r>
        <w:rPr>
          <w:rFonts w:ascii="宋体"/>
          <w:color w:val="auto"/>
        </w:rPr>
        <w:t xml:space="preserve">    </w:t>
      </w:r>
      <w:r>
        <w:rPr>
          <w:rFonts w:hint="eastAsia" w:ascii="宋体"/>
          <w:color w:val="auto"/>
        </w:rPr>
        <w:t>在此提交的报价文件</w:t>
      </w:r>
      <w:r>
        <w:rPr>
          <w:rFonts w:ascii="宋体"/>
          <w:color w:val="auto"/>
        </w:rPr>
        <w:t xml:space="preserve">, </w:t>
      </w:r>
      <w:r>
        <w:rPr>
          <w:rFonts w:hint="eastAsia" w:ascii="宋体"/>
          <w:color w:val="auto"/>
        </w:rPr>
        <w:t>正本</w:t>
      </w:r>
      <w:r>
        <w:rPr>
          <w:rFonts w:hint="eastAsia" w:ascii="宋体"/>
          <w:color w:val="auto"/>
          <w:u w:val="single"/>
          <w:lang w:val="en-US" w:eastAsia="zh-CN"/>
        </w:rPr>
        <w:t xml:space="preserve"> </w:t>
      </w:r>
      <w:r>
        <w:rPr>
          <w:rFonts w:hint="eastAsia" w:ascii="宋体"/>
          <w:color w:val="auto"/>
          <w:u w:val="single"/>
          <w:lang w:eastAsia="zh-CN"/>
        </w:rPr>
        <w:t>壹</w:t>
      </w:r>
      <w:r>
        <w:rPr>
          <w:rFonts w:hint="eastAsia" w:ascii="宋体"/>
          <w:color w:val="auto"/>
          <w:u w:val="single"/>
          <w:lang w:val="en-US" w:eastAsia="zh-CN"/>
        </w:rPr>
        <w:t xml:space="preserve"> </w:t>
      </w:r>
      <w:r>
        <w:rPr>
          <w:rFonts w:hint="eastAsia" w:ascii="宋体"/>
          <w:color w:val="auto"/>
        </w:rPr>
        <w:t>份</w:t>
      </w:r>
      <w:r>
        <w:rPr>
          <w:rFonts w:ascii="宋体"/>
          <w:color w:val="auto"/>
        </w:rPr>
        <w:t xml:space="preserve">, </w:t>
      </w:r>
      <w:r>
        <w:rPr>
          <w:rFonts w:hint="eastAsia" w:ascii="宋体"/>
          <w:color w:val="auto"/>
        </w:rPr>
        <w:t>副本</w:t>
      </w:r>
      <w:r>
        <w:rPr>
          <w:rFonts w:ascii="宋体"/>
          <w:color w:val="auto"/>
          <w:u w:val="single"/>
        </w:rPr>
        <w:t xml:space="preserve"> </w:t>
      </w:r>
      <w:r>
        <w:rPr>
          <w:rFonts w:hint="eastAsia" w:ascii="宋体"/>
          <w:color w:val="auto"/>
          <w:u w:val="single"/>
          <w:lang w:eastAsia="zh-CN"/>
        </w:rPr>
        <w:t>叁</w:t>
      </w:r>
      <w:r>
        <w:rPr>
          <w:rFonts w:ascii="宋体"/>
          <w:color w:val="auto"/>
          <w:u w:val="single"/>
        </w:rPr>
        <w:t xml:space="preserve"> </w:t>
      </w:r>
      <w:r>
        <w:rPr>
          <w:rFonts w:hint="eastAsia" w:ascii="宋体"/>
          <w:color w:val="auto"/>
        </w:rPr>
        <w:t>份，报价文件包括如下等内容</w:t>
      </w:r>
      <w:r>
        <w:rPr>
          <w:rFonts w:ascii="宋体"/>
          <w:color w:val="auto"/>
        </w:rPr>
        <w:t>:</w:t>
      </w:r>
    </w:p>
    <w:p>
      <w:pPr>
        <w:pStyle w:val="15"/>
        <w:spacing w:line="480" w:lineRule="exact"/>
        <w:rPr>
          <w:color w:val="auto"/>
        </w:rPr>
      </w:pPr>
      <w:r>
        <w:rPr>
          <w:rFonts w:hint="eastAsia"/>
          <w:color w:val="auto"/>
        </w:rPr>
        <w:t>一、</w:t>
      </w:r>
      <w:r>
        <w:rPr>
          <w:color w:val="auto"/>
        </w:rPr>
        <w:t xml:space="preserve"> </w:t>
      </w:r>
      <w:r>
        <w:rPr>
          <w:rFonts w:hint="eastAsia"/>
          <w:color w:val="auto"/>
        </w:rPr>
        <w:t>报价文件第一部分</w:t>
      </w:r>
    </w:p>
    <w:p>
      <w:pPr>
        <w:pStyle w:val="15"/>
        <w:tabs>
          <w:tab w:val="left" w:pos="3780"/>
        </w:tabs>
        <w:spacing w:line="480" w:lineRule="exact"/>
        <w:rPr>
          <w:color w:val="auto"/>
        </w:rPr>
      </w:pPr>
      <w:r>
        <w:rPr>
          <w:color w:val="auto"/>
        </w:rPr>
        <w:t xml:space="preserve">     </w:t>
      </w:r>
      <w:r>
        <w:rPr>
          <w:rFonts w:hint="eastAsia"/>
          <w:color w:val="auto"/>
        </w:rPr>
        <w:t>报价表</w:t>
      </w:r>
      <w:r>
        <w:rPr>
          <w:color w:val="auto"/>
        </w:rPr>
        <w:tab/>
      </w:r>
    </w:p>
    <w:p>
      <w:pPr>
        <w:pStyle w:val="15"/>
        <w:spacing w:line="480" w:lineRule="exact"/>
        <w:rPr>
          <w:color w:val="auto"/>
        </w:rPr>
      </w:pPr>
      <w:r>
        <w:rPr>
          <w:rFonts w:hint="eastAsia"/>
          <w:color w:val="auto"/>
        </w:rPr>
        <w:t>二、</w:t>
      </w:r>
      <w:r>
        <w:rPr>
          <w:color w:val="auto"/>
        </w:rPr>
        <w:t xml:space="preserve"> </w:t>
      </w:r>
      <w:r>
        <w:rPr>
          <w:rFonts w:hint="eastAsia"/>
          <w:color w:val="auto"/>
        </w:rPr>
        <w:t>报价文件第二部分</w:t>
      </w:r>
    </w:p>
    <w:p>
      <w:pPr>
        <w:pStyle w:val="15"/>
        <w:spacing w:line="480" w:lineRule="exact"/>
        <w:rPr>
          <w:color w:val="auto"/>
        </w:rPr>
      </w:pPr>
      <w:r>
        <w:rPr>
          <w:rFonts w:hint="eastAsia"/>
          <w:color w:val="auto"/>
        </w:rPr>
        <w:t>（一）报价函；</w:t>
      </w:r>
    </w:p>
    <w:p>
      <w:pPr>
        <w:pStyle w:val="15"/>
        <w:spacing w:line="480" w:lineRule="exact"/>
        <w:rPr>
          <w:color w:val="auto"/>
        </w:rPr>
      </w:pPr>
      <w:r>
        <w:rPr>
          <w:rFonts w:hint="eastAsia"/>
          <w:color w:val="auto"/>
        </w:rPr>
        <w:t>（二）授权书；</w:t>
      </w:r>
    </w:p>
    <w:p>
      <w:pPr>
        <w:pStyle w:val="15"/>
        <w:spacing w:line="480" w:lineRule="exact"/>
        <w:rPr>
          <w:color w:val="auto"/>
        </w:rPr>
      </w:pPr>
      <w:r>
        <w:rPr>
          <w:rFonts w:hint="eastAsia"/>
          <w:color w:val="auto"/>
        </w:rPr>
        <w:t>（三）资格证明文件；</w:t>
      </w:r>
    </w:p>
    <w:p>
      <w:pPr>
        <w:pStyle w:val="15"/>
        <w:spacing w:line="480" w:lineRule="exact"/>
        <w:rPr>
          <w:b/>
          <w:color w:val="auto"/>
        </w:rPr>
      </w:pPr>
      <w:r>
        <w:rPr>
          <w:rFonts w:hint="eastAsia"/>
          <w:color w:val="auto"/>
        </w:rPr>
        <w:t>（四）报价保证金金额为：</w:t>
      </w:r>
      <w:r>
        <w:rPr>
          <w:color w:val="auto"/>
          <w:u w:val="single"/>
        </w:rPr>
        <w:t xml:space="preserve">             </w:t>
      </w:r>
      <w:r>
        <w:rPr>
          <w:rFonts w:hint="eastAsia"/>
          <w:color w:val="auto"/>
        </w:rPr>
        <w:t>（注明币种及金额大、小写）</w:t>
      </w:r>
      <w:r>
        <w:rPr>
          <w:color w:val="auto"/>
          <w:u w:val="single"/>
        </w:rPr>
        <w:t xml:space="preserve">                    </w:t>
      </w:r>
      <w:r>
        <w:rPr>
          <w:color w:val="auto"/>
        </w:rPr>
        <w:t xml:space="preserve"> </w:t>
      </w:r>
      <w:r>
        <w:rPr>
          <w:rFonts w:hint="eastAsia"/>
          <w:b/>
          <w:color w:val="auto"/>
        </w:rPr>
        <w:t>；</w:t>
      </w:r>
    </w:p>
    <w:p>
      <w:pPr>
        <w:pStyle w:val="15"/>
        <w:spacing w:line="480" w:lineRule="exact"/>
        <w:rPr>
          <w:color w:val="auto"/>
        </w:rPr>
      </w:pPr>
      <w:r>
        <w:rPr>
          <w:rFonts w:hint="eastAsia"/>
          <w:color w:val="auto"/>
        </w:rPr>
        <w:t>（五）商务响应表及差异表；</w:t>
      </w:r>
    </w:p>
    <w:p>
      <w:pPr>
        <w:pStyle w:val="15"/>
        <w:spacing w:line="480" w:lineRule="exact"/>
        <w:rPr>
          <w:color w:val="auto"/>
        </w:rPr>
      </w:pPr>
      <w:r>
        <w:rPr>
          <w:rFonts w:hint="eastAsia"/>
          <w:color w:val="auto"/>
        </w:rPr>
        <w:t>（六）按磋商文件报价人须知的要求提供的报价文件格式的其它有关文件。</w:t>
      </w:r>
    </w:p>
    <w:p>
      <w:pPr>
        <w:pStyle w:val="15"/>
        <w:spacing w:line="480" w:lineRule="exact"/>
        <w:rPr>
          <w:color w:val="auto"/>
        </w:rPr>
      </w:pPr>
      <w:r>
        <w:rPr>
          <w:rFonts w:hint="eastAsia"/>
          <w:color w:val="auto"/>
        </w:rPr>
        <w:t>三、</w:t>
      </w:r>
      <w:r>
        <w:rPr>
          <w:color w:val="auto"/>
        </w:rPr>
        <w:t xml:space="preserve"> </w:t>
      </w:r>
      <w:r>
        <w:rPr>
          <w:rFonts w:hint="eastAsia"/>
          <w:color w:val="auto"/>
        </w:rPr>
        <w:t>报价文件第三部分</w:t>
      </w:r>
    </w:p>
    <w:p>
      <w:pPr>
        <w:pStyle w:val="15"/>
        <w:spacing w:line="480" w:lineRule="exact"/>
        <w:rPr>
          <w:color w:val="auto"/>
        </w:rPr>
      </w:pPr>
      <w:r>
        <w:rPr>
          <w:color w:val="auto"/>
        </w:rPr>
        <w:t xml:space="preserve">     </w:t>
      </w:r>
      <w:r>
        <w:rPr>
          <w:rFonts w:hint="eastAsia"/>
          <w:color w:val="auto"/>
        </w:rPr>
        <w:t>技术响应文件及差异表</w:t>
      </w:r>
    </w:p>
    <w:p>
      <w:pPr>
        <w:pStyle w:val="15"/>
        <w:spacing w:line="480" w:lineRule="exact"/>
        <w:rPr>
          <w:color w:val="auto"/>
        </w:rPr>
      </w:pPr>
      <w:r>
        <w:rPr>
          <w:color w:val="auto"/>
        </w:rPr>
        <w:t xml:space="preserve">     </w:t>
      </w:r>
      <w:r>
        <w:rPr>
          <w:rFonts w:hint="eastAsia"/>
          <w:color w:val="auto"/>
        </w:rPr>
        <w:t>并在正本内附有相应各部分内容的电子文件一套</w:t>
      </w:r>
      <w:r>
        <w:rPr>
          <w:rFonts w:hint="eastAsia" w:hAnsi="宋体" w:cs="Tahoma"/>
          <w:b/>
          <w:bCs/>
          <w:color w:val="auto"/>
          <w:kern w:val="28"/>
          <w:szCs w:val="21"/>
        </w:rPr>
        <w:t>（</w:t>
      </w:r>
      <w:r>
        <w:rPr>
          <w:rFonts w:hAnsi="宋体" w:cs="Tahoma"/>
          <w:b/>
          <w:bCs/>
          <w:color w:val="auto"/>
          <w:kern w:val="28"/>
          <w:szCs w:val="21"/>
        </w:rPr>
        <w:t>U</w:t>
      </w:r>
      <w:r>
        <w:rPr>
          <w:rFonts w:hint="eastAsia" w:hAnsi="宋体" w:cs="Tahoma"/>
          <w:b/>
          <w:bCs/>
          <w:color w:val="auto"/>
          <w:kern w:val="28"/>
          <w:szCs w:val="21"/>
        </w:rPr>
        <w:t>盘形式与报价文件正本一起密封）</w:t>
      </w:r>
      <w:r>
        <w:rPr>
          <w:rFonts w:hint="eastAsia"/>
          <w:color w:val="auto"/>
        </w:rPr>
        <w:t>。</w:t>
      </w:r>
    </w:p>
    <w:p>
      <w:pPr>
        <w:spacing w:line="480" w:lineRule="exact"/>
        <w:ind w:firstLine="570"/>
        <w:rPr>
          <w:rFonts w:ascii="宋体"/>
          <w:color w:val="auto"/>
        </w:rPr>
      </w:pPr>
      <w:r>
        <w:rPr>
          <w:rFonts w:hint="eastAsia" w:ascii="宋体"/>
          <w:color w:val="auto"/>
        </w:rPr>
        <w:t>我方已完全明白报价文件的所有条款要求，并重申以下几点：</w:t>
      </w:r>
    </w:p>
    <w:p>
      <w:pPr>
        <w:spacing w:line="480" w:lineRule="exact"/>
        <w:ind w:left="600" w:hanging="600"/>
        <w:rPr>
          <w:rFonts w:ascii="宋体"/>
          <w:color w:val="auto"/>
        </w:rPr>
      </w:pPr>
      <w:r>
        <w:rPr>
          <w:rFonts w:hint="eastAsia" w:ascii="宋体"/>
          <w:color w:val="auto"/>
        </w:rPr>
        <w:t>（一）我方决定参加：采购编号为</w:t>
      </w:r>
      <w:r>
        <w:rPr>
          <w:rFonts w:ascii="宋体"/>
          <w:color w:val="auto"/>
          <w:u w:val="single"/>
        </w:rPr>
        <w:t xml:space="preserve">  </w:t>
      </w:r>
      <w:r>
        <w:rPr>
          <w:rFonts w:hint="eastAsia" w:ascii="宋体"/>
          <w:color w:val="auto"/>
          <w:u w:val="single"/>
          <w:lang w:eastAsia="zh-CN"/>
        </w:rPr>
        <w:t xml:space="preserve">采购项目编号：445381-202005-81327002-0002 </w:t>
      </w:r>
      <w:r>
        <w:rPr>
          <w:rFonts w:ascii="宋体"/>
          <w:color w:val="auto"/>
          <w:u w:val="single"/>
        </w:rPr>
        <w:t xml:space="preserve"> </w:t>
      </w:r>
      <w:r>
        <w:rPr>
          <w:rFonts w:hint="eastAsia" w:ascii="宋体"/>
          <w:color w:val="auto"/>
        </w:rPr>
        <w:t>号的报价；</w:t>
      </w:r>
    </w:p>
    <w:p>
      <w:pPr>
        <w:spacing w:line="480" w:lineRule="exact"/>
        <w:ind w:left="471" w:hanging="471"/>
        <w:rPr>
          <w:rFonts w:ascii="宋体"/>
          <w:color w:val="auto"/>
        </w:rPr>
      </w:pPr>
      <w:r>
        <w:rPr>
          <w:rFonts w:hint="eastAsia" w:ascii="宋体"/>
          <w:color w:val="auto"/>
        </w:rPr>
        <w:t>（二）全部货物之供应和有关服务的报价总价（详见报价表）；</w:t>
      </w:r>
    </w:p>
    <w:p>
      <w:pPr>
        <w:spacing w:line="480" w:lineRule="exact"/>
        <w:ind w:left="600" w:hanging="600"/>
        <w:rPr>
          <w:rFonts w:ascii="宋体"/>
          <w:color w:val="auto"/>
        </w:rPr>
      </w:pPr>
      <w:r>
        <w:rPr>
          <w:rFonts w:hint="eastAsia" w:ascii="宋体"/>
          <w:color w:val="auto"/>
        </w:rPr>
        <w:t>（三）本报价文件的有效期为磋商日起的</w:t>
      </w:r>
      <w:r>
        <w:rPr>
          <w:rFonts w:ascii="宋体"/>
          <w:color w:val="auto"/>
        </w:rPr>
        <w:t xml:space="preserve"> </w:t>
      </w:r>
      <w:r>
        <w:rPr>
          <w:rFonts w:hint="eastAsia" w:ascii="宋体"/>
          <w:color w:val="auto"/>
          <w:lang w:val="en-US" w:eastAsia="zh-CN"/>
        </w:rPr>
        <w:t>6</w:t>
      </w:r>
      <w:r>
        <w:rPr>
          <w:rFonts w:ascii="宋体"/>
          <w:color w:val="auto"/>
          <w:u w:val="single"/>
        </w:rPr>
        <w:t>0</w:t>
      </w:r>
      <w:r>
        <w:rPr>
          <w:rFonts w:hint="eastAsia" w:ascii="宋体"/>
          <w:color w:val="auto"/>
        </w:rPr>
        <w:t>天内有效，如成交，有效期将延至合同终止日为止；</w:t>
      </w:r>
    </w:p>
    <w:p>
      <w:pPr>
        <w:widowControl w:val="0"/>
        <w:spacing w:line="480" w:lineRule="exact"/>
        <w:ind w:left="693" w:hanging="693" w:hangingChars="330"/>
        <w:rPr>
          <w:rFonts w:ascii="宋体"/>
          <w:color w:val="auto"/>
        </w:rPr>
      </w:pPr>
      <w:r>
        <w:rPr>
          <w:rFonts w:hint="eastAsia" w:ascii="宋体"/>
          <w:color w:val="auto"/>
        </w:rPr>
        <w:t>（四）我方已详细研究了磋商文件的所有内容包括修改文件</w:t>
      </w:r>
      <w:r>
        <w:rPr>
          <w:rFonts w:ascii="宋体"/>
          <w:color w:val="auto"/>
        </w:rPr>
        <w:t>(</w:t>
      </w:r>
      <w:r>
        <w:rPr>
          <w:rFonts w:hint="eastAsia" w:ascii="宋体"/>
          <w:color w:val="auto"/>
        </w:rPr>
        <w:t>如果有</w:t>
      </w:r>
      <w:r>
        <w:rPr>
          <w:rFonts w:ascii="宋体"/>
          <w:color w:val="auto"/>
        </w:rPr>
        <w:t>)</w:t>
      </w:r>
      <w:r>
        <w:rPr>
          <w:rFonts w:hint="eastAsia" w:ascii="宋体"/>
          <w:color w:val="auto"/>
        </w:rPr>
        <w:t>和所有已提供的参考资料以及有关附件并完全明白</w:t>
      </w:r>
      <w:r>
        <w:rPr>
          <w:rFonts w:ascii="宋体"/>
          <w:color w:val="auto"/>
        </w:rPr>
        <w:t xml:space="preserve">, </w:t>
      </w:r>
      <w:r>
        <w:rPr>
          <w:rFonts w:hint="eastAsia" w:ascii="宋体"/>
          <w:color w:val="auto"/>
        </w:rPr>
        <w:t>我方放弃在此方面提出含糊意见或误解的一切权力。</w:t>
      </w:r>
    </w:p>
    <w:p>
      <w:pPr>
        <w:spacing w:line="480" w:lineRule="exact"/>
        <w:ind w:left="693" w:hanging="693" w:hangingChars="330"/>
        <w:rPr>
          <w:rFonts w:ascii="宋体"/>
          <w:color w:val="auto"/>
        </w:rPr>
      </w:pPr>
      <w:r>
        <w:rPr>
          <w:rFonts w:hint="eastAsia" w:ascii="宋体"/>
          <w:color w:val="auto"/>
        </w:rPr>
        <w:t>（五）</w:t>
      </w:r>
      <w:r>
        <w:rPr>
          <w:rFonts w:ascii="宋体"/>
          <w:color w:val="auto"/>
        </w:rPr>
        <w:t xml:space="preserve"> </w:t>
      </w:r>
      <w:r>
        <w:rPr>
          <w:rFonts w:hint="eastAsia" w:ascii="宋体"/>
          <w:color w:val="auto"/>
        </w:rPr>
        <w:t>我方明白并愿意在规定的磋商时间和日期之后</w:t>
      </w:r>
      <w:r>
        <w:rPr>
          <w:rFonts w:ascii="宋体"/>
          <w:color w:val="auto"/>
        </w:rPr>
        <w:t>,</w:t>
      </w:r>
      <w:r>
        <w:rPr>
          <w:rFonts w:hint="eastAsia" w:ascii="宋体"/>
          <w:color w:val="auto"/>
        </w:rPr>
        <w:t>报价有效期之内撤回报价</w:t>
      </w:r>
      <w:r>
        <w:rPr>
          <w:rFonts w:ascii="宋体"/>
          <w:color w:val="auto"/>
        </w:rPr>
        <w:t xml:space="preserve">, </w:t>
      </w:r>
      <w:r>
        <w:rPr>
          <w:rFonts w:hint="eastAsia" w:ascii="宋体"/>
          <w:color w:val="auto"/>
        </w:rPr>
        <w:t>则报价保证金将被贵方没收。</w:t>
      </w:r>
    </w:p>
    <w:p>
      <w:pPr>
        <w:pStyle w:val="17"/>
        <w:spacing w:line="480" w:lineRule="exact"/>
        <w:ind w:left="0" w:leftChars="0"/>
        <w:rPr>
          <w:color w:val="auto"/>
        </w:rPr>
      </w:pPr>
      <w:r>
        <w:rPr>
          <w:rFonts w:hint="eastAsia"/>
          <w:color w:val="auto"/>
        </w:rPr>
        <w:t>（六）</w:t>
      </w:r>
      <w:r>
        <w:rPr>
          <w:color w:val="auto"/>
        </w:rPr>
        <w:t xml:space="preserve"> </w:t>
      </w:r>
      <w:r>
        <w:rPr>
          <w:rFonts w:hint="eastAsia"/>
          <w:color w:val="auto"/>
        </w:rPr>
        <w:t>我方同意按照贵方可能提出的要求而提供与报价有关的任何其它数据或信息。</w:t>
      </w:r>
    </w:p>
    <w:p>
      <w:pPr>
        <w:spacing w:line="480" w:lineRule="exact"/>
        <w:ind w:left="588" w:hanging="588"/>
        <w:rPr>
          <w:rFonts w:ascii="宋体"/>
          <w:color w:val="auto"/>
        </w:rPr>
      </w:pPr>
      <w:r>
        <w:rPr>
          <w:rFonts w:hint="eastAsia" w:ascii="宋体"/>
          <w:color w:val="auto"/>
        </w:rPr>
        <w:t>（七）</w:t>
      </w:r>
      <w:r>
        <w:rPr>
          <w:rFonts w:ascii="宋体"/>
          <w:color w:val="auto"/>
        </w:rPr>
        <w:t xml:space="preserve"> </w:t>
      </w:r>
      <w:r>
        <w:rPr>
          <w:rFonts w:hint="eastAsia" w:ascii="宋体"/>
          <w:color w:val="auto"/>
        </w:rPr>
        <w:t>我方理解贵方不一定接受最低标价或任何贵方可能收到的报价。</w:t>
      </w:r>
    </w:p>
    <w:p>
      <w:pPr>
        <w:spacing w:line="480" w:lineRule="exact"/>
        <w:ind w:left="735" w:hanging="735" w:hangingChars="350"/>
        <w:rPr>
          <w:rFonts w:ascii="宋体"/>
          <w:color w:val="auto"/>
        </w:rPr>
      </w:pPr>
      <w:r>
        <w:rPr>
          <w:rFonts w:hint="eastAsia" w:ascii="宋体"/>
          <w:color w:val="auto"/>
        </w:rPr>
        <w:t>（八）</w:t>
      </w:r>
      <w:r>
        <w:rPr>
          <w:rFonts w:ascii="宋体"/>
          <w:color w:val="auto"/>
        </w:rPr>
        <w:t xml:space="preserve"> </w:t>
      </w:r>
      <w:r>
        <w:rPr>
          <w:rFonts w:hint="eastAsia"/>
          <w:color w:val="auto"/>
        </w:rPr>
        <w:t>我方如果成交，将保证履行磋商文件以及磋商文件修改文件（如果有的话）中的全部责任和义务，按质、按量、按期完成《用户需求书》及《合同书》中的全部任务。</w:t>
      </w:r>
    </w:p>
    <w:p>
      <w:pPr>
        <w:pStyle w:val="14"/>
        <w:spacing w:line="480" w:lineRule="exact"/>
        <w:ind w:left="735" w:leftChars="0" w:hanging="735" w:hangingChars="350"/>
        <w:rPr>
          <w:color w:val="auto"/>
        </w:rPr>
      </w:pPr>
      <w:r>
        <w:rPr>
          <w:rFonts w:hint="eastAsia"/>
          <w:color w:val="auto"/>
        </w:rPr>
        <w:t>（九）</w:t>
      </w:r>
      <w:r>
        <w:rPr>
          <w:color w:val="auto"/>
        </w:rPr>
        <w:t xml:space="preserve"> </w:t>
      </w:r>
      <w:r>
        <w:rPr>
          <w:rFonts w:hint="eastAsia"/>
          <w:color w:val="auto"/>
        </w:rPr>
        <w:t>如我方被授予合同，由我方就本次磋商支付或将支付的服务费列于磋商文件要求的承诺书（承诺书号</w:t>
      </w:r>
      <w:r>
        <w:rPr>
          <w:b/>
          <w:color w:val="auto"/>
        </w:rPr>
        <w:t>ZB</w:t>
      </w:r>
      <w:r>
        <w:rPr>
          <w:rFonts w:ascii="宋体" w:hAnsi="宋体"/>
          <w:color w:val="auto"/>
        </w:rPr>
        <w:t xml:space="preserve"> </w:t>
      </w:r>
      <w:r>
        <w:rPr>
          <w:rFonts w:hint="eastAsia" w:ascii="宋体" w:hAnsi="宋体"/>
          <w:color w:val="auto"/>
          <w:lang w:eastAsia="zh-CN"/>
        </w:rPr>
        <w:t xml:space="preserve">采购项目编号：445381-202005-81327002-0002 </w:t>
      </w:r>
      <w:r>
        <w:rPr>
          <w:rFonts w:hint="eastAsia"/>
          <w:color w:val="auto"/>
        </w:rPr>
        <w:t>）中。</w:t>
      </w:r>
    </w:p>
    <w:p>
      <w:pPr>
        <w:spacing w:line="480" w:lineRule="exact"/>
        <w:rPr>
          <w:rFonts w:ascii="宋体"/>
          <w:color w:val="auto"/>
        </w:rPr>
      </w:pPr>
      <w:r>
        <w:rPr>
          <w:rFonts w:hint="eastAsia" w:ascii="宋体"/>
          <w:color w:val="auto"/>
        </w:rPr>
        <w:t>（十）</w:t>
      </w:r>
      <w:r>
        <w:rPr>
          <w:rFonts w:ascii="宋体"/>
          <w:color w:val="auto"/>
        </w:rPr>
        <w:t xml:space="preserve"> </w:t>
      </w:r>
      <w:r>
        <w:rPr>
          <w:rFonts w:hint="eastAsia" w:ascii="宋体"/>
          <w:color w:val="auto"/>
        </w:rPr>
        <w:t>所有与本磋商有关的函件请发往下列地址</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地</w:t>
      </w:r>
      <w:r>
        <w:rPr>
          <w:rFonts w:ascii="宋体"/>
          <w:color w:val="auto"/>
        </w:rPr>
        <w:t xml:space="preserve">    </w:t>
      </w:r>
      <w:r>
        <w:rPr>
          <w:rFonts w:hint="eastAsia" w:ascii="宋体"/>
          <w:color w:val="auto"/>
        </w:rPr>
        <w:t>址：</w:t>
      </w:r>
      <w:r>
        <w:rPr>
          <w:rFonts w:ascii="宋体"/>
          <w:color w:val="auto"/>
          <w:u w:val="single"/>
        </w:rPr>
        <w:t xml:space="preserve">                     </w:t>
      </w:r>
      <w:r>
        <w:rPr>
          <w:rFonts w:ascii="宋体"/>
          <w:color w:val="auto"/>
        </w:rPr>
        <w:t>.</w:t>
      </w:r>
      <w:r>
        <w:rPr>
          <w:rFonts w:hint="eastAsia" w:ascii="宋体"/>
          <w:color w:val="auto"/>
        </w:rPr>
        <w:t>邮政编码：</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电</w:t>
      </w:r>
      <w:r>
        <w:rPr>
          <w:rFonts w:ascii="宋体"/>
          <w:color w:val="auto"/>
        </w:rPr>
        <w:t xml:space="preserve">    </w:t>
      </w:r>
      <w:r>
        <w:rPr>
          <w:rFonts w:hint="eastAsia" w:ascii="宋体"/>
          <w:color w:val="auto"/>
        </w:rPr>
        <w:t>话：</w:t>
      </w:r>
      <w:r>
        <w:rPr>
          <w:rFonts w:ascii="宋体"/>
          <w:color w:val="auto"/>
          <w:u w:val="single"/>
        </w:rPr>
        <w:t xml:space="preserve">                     </w:t>
      </w:r>
      <w:r>
        <w:rPr>
          <w:rFonts w:ascii="宋体"/>
          <w:color w:val="auto"/>
        </w:rPr>
        <w:t>.</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代表姓名：</w:t>
      </w:r>
      <w:r>
        <w:rPr>
          <w:rFonts w:ascii="宋体"/>
          <w:color w:val="auto"/>
          <w:u w:val="single"/>
        </w:rPr>
        <w:t xml:space="preserve">                     </w:t>
      </w:r>
      <w:r>
        <w:rPr>
          <w:rFonts w:ascii="宋体"/>
          <w:color w:val="auto"/>
        </w:rPr>
        <w:t>.</w:t>
      </w:r>
      <w:r>
        <w:rPr>
          <w:rFonts w:hint="eastAsia" w:ascii="宋体"/>
          <w:color w:val="auto"/>
        </w:rPr>
        <w:t>职</w:t>
      </w:r>
      <w:r>
        <w:rPr>
          <w:rFonts w:ascii="宋体"/>
          <w:color w:val="auto"/>
        </w:rPr>
        <w:t xml:space="preserve">    </w:t>
      </w:r>
      <w:r>
        <w:rPr>
          <w:rFonts w:hint="eastAsia" w:ascii="宋体"/>
          <w:color w:val="auto"/>
        </w:rPr>
        <w:t>务：</w:t>
      </w:r>
      <w:r>
        <w:rPr>
          <w:rFonts w:ascii="宋体"/>
          <w:color w:val="auto"/>
          <w:u w:val="single"/>
        </w:rPr>
        <w:t xml:space="preserve">                  </w:t>
      </w:r>
      <w:r>
        <w:rPr>
          <w:rFonts w:ascii="宋体"/>
          <w:color w:val="auto"/>
        </w:rPr>
        <w:t>.</w:t>
      </w:r>
    </w:p>
    <w:p>
      <w:pPr>
        <w:spacing w:line="480" w:lineRule="exact"/>
        <w:rPr>
          <w:rFonts w:ascii="宋体"/>
          <w:color w:val="auto"/>
          <w:u w:val="single"/>
        </w:rPr>
      </w:pPr>
    </w:p>
    <w:p>
      <w:pPr>
        <w:spacing w:line="480" w:lineRule="exact"/>
        <w:rPr>
          <w:rFonts w:ascii="宋体"/>
          <w:color w:val="auto"/>
          <w:u w:val="single"/>
        </w:rPr>
      </w:pPr>
    </w:p>
    <w:p>
      <w:pPr>
        <w:spacing w:line="480" w:lineRule="exact"/>
        <w:ind w:left="4599" w:leftChars="2190"/>
        <w:jc w:val="both"/>
        <w:rPr>
          <w:rFonts w:ascii="宋体"/>
          <w:color w:val="auto"/>
        </w:rPr>
      </w:pPr>
      <w:r>
        <w:rPr>
          <w:rFonts w:hint="eastAsia" w:ascii="宋体"/>
          <w:color w:val="auto"/>
        </w:rPr>
        <w:t>报价人（公章）：</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报价人地址：</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授权代表姓名（</w:t>
      </w:r>
      <w:r>
        <w:rPr>
          <w:rFonts w:hint="eastAsia" w:ascii="宋体"/>
          <w:color w:val="auto"/>
          <w:lang w:eastAsia="zh-CN"/>
        </w:rPr>
        <w:t>签章</w:t>
      </w:r>
      <w:r>
        <w:rPr>
          <w:rFonts w:hint="eastAsia" w:ascii="宋体"/>
          <w:color w:val="auto"/>
        </w:rPr>
        <w:t>）：</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日</w:t>
      </w:r>
      <w:r>
        <w:rPr>
          <w:rFonts w:ascii="宋体"/>
          <w:color w:val="auto"/>
        </w:rPr>
        <w:t xml:space="preserve">    </w:t>
      </w:r>
      <w:r>
        <w:rPr>
          <w:rFonts w:hint="eastAsia" w:ascii="宋体"/>
          <w:color w:val="auto"/>
        </w:rPr>
        <w:t>期：</w:t>
      </w:r>
    </w:p>
    <w:p>
      <w:pPr>
        <w:pStyle w:val="3"/>
        <w:spacing w:line="480" w:lineRule="exact"/>
        <w:rPr>
          <w:color w:val="auto"/>
          <w:sz w:val="32"/>
          <w:szCs w:val="32"/>
        </w:rPr>
      </w:pPr>
      <w:r>
        <w:rPr>
          <w:color w:val="auto"/>
        </w:rPr>
        <w:br w:type="page"/>
      </w:r>
      <w:bookmarkStart w:id="43" w:name="_Toc42951053"/>
      <w:r>
        <w:rPr>
          <w:color w:val="auto"/>
          <w:sz w:val="32"/>
          <w:szCs w:val="32"/>
        </w:rPr>
        <w:t>3</w:t>
      </w:r>
      <w:r>
        <w:rPr>
          <w:rFonts w:hint="eastAsia"/>
          <w:color w:val="auto"/>
          <w:sz w:val="32"/>
          <w:szCs w:val="32"/>
        </w:rPr>
        <w:t>．</w:t>
      </w:r>
      <w:bookmarkEnd w:id="43"/>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5"/>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签章</w:t>
      </w:r>
      <w:r>
        <w:rPr>
          <w:rFonts w:hint="eastAsia" w:ascii="新宋体" w:hAnsi="新宋体" w:eastAsia="新宋体"/>
          <w:color w:val="auto"/>
        </w:rPr>
        <w:t>）：</w:t>
      </w:r>
    </w:p>
    <w:p>
      <w:pPr>
        <w:pStyle w:val="15"/>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5"/>
        <w:spacing w:line="480" w:lineRule="exact"/>
        <w:rPr>
          <w:color w:val="auto"/>
        </w:rPr>
      </w:pPr>
    </w:p>
    <w:p>
      <w:pPr>
        <w:pStyle w:val="15"/>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5"/>
        <w:spacing w:line="480" w:lineRule="exact"/>
        <w:rPr>
          <w:color w:val="auto"/>
          <w:sz w:val="24"/>
        </w:rPr>
      </w:pPr>
    </w:p>
    <w:p>
      <w:pPr>
        <w:pStyle w:val="15"/>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 xml:space="preserve">采购项目编号：445381-202005-81327002-0002 </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5"/>
        <w:spacing w:line="480" w:lineRule="exact"/>
        <w:rPr>
          <w:color w:val="auto"/>
        </w:rPr>
      </w:pPr>
    </w:p>
    <w:p>
      <w:pPr>
        <w:pStyle w:val="15"/>
        <w:spacing w:line="480" w:lineRule="exact"/>
        <w:rPr>
          <w:color w:val="auto"/>
        </w:rPr>
      </w:pPr>
    </w:p>
    <w:p>
      <w:pPr>
        <w:spacing w:line="480" w:lineRule="exact"/>
        <w:ind w:firstLine="570"/>
        <w:rPr>
          <w:rFonts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签章</w:t>
      </w:r>
      <w:r>
        <w:rPr>
          <w:rFonts w:hint="eastAsia" w:ascii="宋体"/>
          <w:color w:val="auto"/>
        </w:rPr>
        <w:t>生效，特此声明。</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签章</w:t>
      </w:r>
      <w:r>
        <w:rPr>
          <w:rFonts w:hint="eastAsia" w:ascii="宋体"/>
          <w:color w:val="auto"/>
        </w:rPr>
        <w:t>）：</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签章</w:t>
      </w:r>
      <w:r>
        <w:rPr>
          <w:rFonts w:hint="eastAsia" w:ascii="宋体"/>
          <w:color w:val="auto"/>
          <w:spacing w:val="20"/>
        </w:rPr>
        <w:t>）</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5"/>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5"/>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5"/>
        <w:spacing w:line="480" w:lineRule="exact"/>
        <w:rPr>
          <w:rFonts w:ascii="Arial" w:hAnsi="Arial"/>
          <w:color w:val="auto"/>
        </w:rPr>
      </w:pPr>
    </w:p>
    <w:p>
      <w:pPr>
        <w:pStyle w:val="15"/>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5"/>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5"/>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5"/>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授权代表（</w:t>
      </w:r>
      <w:r>
        <w:rPr>
          <w:rFonts w:hint="eastAsia" w:ascii="Arial" w:hAnsi="Arial"/>
          <w:color w:val="auto"/>
          <w:lang w:eastAsia="zh-CN"/>
        </w:rPr>
        <w:t>签章</w:t>
      </w:r>
      <w:r>
        <w:rPr>
          <w:rFonts w:hint="eastAsia" w:ascii="Arial" w:hAnsi="Arial"/>
          <w:color w:val="auto"/>
        </w:rPr>
        <w:t>）：</w:t>
      </w:r>
      <w:r>
        <w:rPr>
          <w:rFonts w:ascii="Arial" w:hAnsi="Arial"/>
          <w:color w:val="auto"/>
          <w:u w:val="single"/>
        </w:rPr>
        <w:t xml:space="preserve">                   </w:t>
      </w:r>
      <w:r>
        <w:rPr>
          <w:rFonts w:ascii="Arial" w:hAnsi="Arial"/>
          <w:color w:val="auto"/>
        </w:rPr>
        <w:t xml:space="preserve"> </w:t>
      </w:r>
      <w:r>
        <w:rPr>
          <w:rFonts w:hint="eastAsia" w:ascii="Arial" w:hAnsi="Arial"/>
          <w:color w:val="auto"/>
          <w:lang w:eastAsia="zh-CN"/>
        </w:rPr>
        <w:t>签章</w:t>
      </w:r>
      <w:r>
        <w:rPr>
          <w:rFonts w:hint="eastAsia" w:ascii="Arial" w:hAnsi="Arial"/>
          <w:color w:val="auto"/>
        </w:rPr>
        <w:t>人姓名（印刷体）</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5"/>
        <w:spacing w:line="480" w:lineRule="exact"/>
        <w:rPr>
          <w:color w:val="auto"/>
        </w:rPr>
        <w:sectPr>
          <w:headerReference r:id="rId19" w:type="default"/>
          <w:footerReference r:id="rId20"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44" w:name="_Toc42951054"/>
    </w:p>
    <w:p>
      <w:pPr>
        <w:tabs>
          <w:tab w:val="left" w:pos="4860"/>
        </w:tabs>
        <w:spacing w:line="588" w:lineRule="exact"/>
        <w:ind w:right="1560"/>
        <w:rPr>
          <w:rFonts w:ascii="??_GB2312" w:eastAsia="Times New Roman"/>
          <w:color w:val="auto"/>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44"/>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lang w:val="en-US" w:eastAsia="zh-CN"/>
        </w:rPr>
        <w:t xml:space="preserve">     </w:t>
      </w:r>
      <w:r>
        <w:rPr>
          <w:rFonts w:ascii="宋体"/>
          <w:color w:val="auto"/>
        </w:rPr>
        <w:t>[</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spacing w:line="480" w:lineRule="exact"/>
        <w:ind w:firstLine="666" w:firstLineChars="3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1、供应商应具备《政府采购法》第二十二条规定的条件。 供应商应具备《政府采购法》第二十二条规定的条件：</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1） 提供企业法人营业执照（三证合一证明）证明文件。</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2） 提供2018或2019年的财务报告，或提供2019年6月至今任意一个月（至少提供其中任意一个月）的财务报告（提供由会计师事务所出具的审计报告）；或提供银行出具的资信证明；报价人为新注册的，提供2019年6月至今其中任意一个月的财务状况报表复印件。</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3） 提供2019年6月至今任意一个月（至少提供其中任意一个月）缴纳税收和社保的凭证。如依法免税或不需要缴纳社会保障资金的，应提供相应文件证明。</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4） 提供为本项目服务的设备清单以及技术人员的名单材料。</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5） 提供参加政府采购活动前3年内在经营活动中没有重大违法记录的书面声明。</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2、投标人必须是在中华人民共和国境内注册的具有独立承担民事责任能力的法人或其他组织，具有从事本项目的经营范围和能力。</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3、供应商未被列入“信用中国”网站(www.creditchina.gov.cn)“失信被执行人或重大税收违法案件当事人名单”记录名单；不处于中国政府采购网(www.ccgp.gov.cn)“政府采购严重违法失信行为信息记录”中的禁止参加政府采购活动期间。【以在“信用中国”网站以及中国政府采购网查询结果为准，如查询结果显示“没查到您要的信息”，视为没有上述不良信用记录,如相关失信记录已失效，投标人需提供相关证明资料】，提供查询结果截图证明；</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4、为采购项目提供整体设计、规范编制或者项目管理、监理、检测等服务的供应商，不得再参加该采购项目的其他采购活动。（提供《承诺函》）</w:t>
      </w:r>
    </w:p>
    <w:p>
      <w:pPr>
        <w:spacing w:line="480" w:lineRule="exact"/>
        <w:ind w:firstLine="444" w:firstLineChars="200"/>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5、单位负责人为同一人或者存在直接控股、管理关系的不同供应商，不得参加同一合同项下的政府采购活动。（以国家企业信用信息公示系统www.gsxt.gov.cn查询结果为准）；</w:t>
      </w:r>
    </w:p>
    <w:p>
      <w:pPr>
        <w:pStyle w:val="2"/>
        <w:ind w:left="861" w:leftChars="200" w:hanging="441" w:hangingChars="21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本项目不接受联合体投标。</w:t>
      </w: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hint="eastAsia" w:ascii="宋体" w:hAnsi="宋体" w:cs="宋体"/>
          <w:b/>
          <w:bCs/>
          <w:color w:val="auto"/>
          <w:sz w:val="32"/>
          <w:szCs w:val="32"/>
        </w:rPr>
      </w:pPr>
      <w:bookmarkStart w:id="45" w:name="_Hlt10549792"/>
      <w:bookmarkEnd w:id="45"/>
    </w:p>
    <w:p>
      <w:pPr>
        <w:spacing w:line="480" w:lineRule="exact"/>
        <w:rPr>
          <w:rFonts w:hint="eastAsia" w:ascii="宋体" w:hAnsi="宋体" w:cs="宋体"/>
          <w:color w:val="auto"/>
        </w:rPr>
      </w:pPr>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27"/>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5"/>
        <w:spacing w:line="480" w:lineRule="exact"/>
        <w:ind w:left="4700" w:leftChars="2238"/>
        <w:rPr>
          <w:rFonts w:hint="eastAsia" w:hAnsi="宋体" w:cs="宋体"/>
          <w:color w:val="auto"/>
        </w:rPr>
      </w:pPr>
      <w:r>
        <w:rPr>
          <w:rFonts w:hint="eastAsia" w:hAnsi="宋体" w:cs="宋体"/>
          <w:color w:val="auto"/>
        </w:rPr>
        <w:t>日       期：</w:t>
      </w:r>
    </w:p>
    <w:p>
      <w:pPr>
        <w:pStyle w:val="15"/>
        <w:spacing w:line="480" w:lineRule="exact"/>
        <w:ind w:left="4700" w:leftChars="2238"/>
        <w:rPr>
          <w:rFonts w:hint="eastAsia" w:hAnsi="宋体" w:cs="宋体"/>
          <w:color w:val="auto"/>
        </w:rPr>
      </w:pPr>
    </w:p>
    <w:p>
      <w:pPr>
        <w:pStyle w:val="15"/>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27"/>
        <w:tblW w:w="8588" w:type="dxa"/>
        <w:tblInd w:w="93" w:type="dxa"/>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855" w:hRule="atLeast"/>
        </w:trPr>
        <w:tc>
          <w:tcPr>
            <w:tcW w:w="858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27"/>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p>
              </w:tc>
            </w:tr>
          </w:tbl>
          <w:p>
            <w:pPr>
              <w:keepNext w:val="0"/>
              <w:keepLines w:val="0"/>
              <w:widowControl/>
              <w:suppressLineNumbers w:val="0"/>
              <w:spacing w:before="0" w:beforeAutospacing="0" w:after="0" w:afterAutospacing="0"/>
              <w:ind w:left="0" w:right="0"/>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27"/>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9636" w:type="dxa"/>
            <w:vAlign w:val="top"/>
          </w:tcPr>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46" w:name="_Toc42951056"/>
      <w:r>
        <w:rPr>
          <w:b/>
          <w:bCs/>
          <w:color w:val="auto"/>
          <w:kern w:val="44"/>
          <w:sz w:val="32"/>
          <w:szCs w:val="32"/>
        </w:rPr>
        <w:t xml:space="preserve"> 7</w:t>
      </w:r>
      <w:r>
        <w:rPr>
          <w:rFonts w:hint="eastAsia"/>
          <w:b/>
          <w:bCs/>
          <w:color w:val="auto"/>
          <w:kern w:val="44"/>
          <w:sz w:val="32"/>
          <w:szCs w:val="32"/>
        </w:rPr>
        <w:t>．商务响应表格式</w:t>
      </w:r>
      <w:bookmarkEnd w:id="46"/>
    </w:p>
    <w:p>
      <w:pPr>
        <w:pStyle w:val="2"/>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i/>
                <w:iCs/>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lang w:val="en-GB"/>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19"/>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r>
    </w:tbl>
    <w:p>
      <w:pPr>
        <w:ind w:left="735" w:leftChars="150" w:hanging="420" w:hangingChars="200"/>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630" w:firstLineChars="300"/>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ind w:firstLine="630" w:firstLineChars="300"/>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adjustRightInd w:val="0"/>
        <w:snapToGrid w:val="0"/>
        <w:spacing w:line="300" w:lineRule="auto"/>
        <w:rPr>
          <w:rFonts w:ascii="宋体"/>
          <w:color w:val="auto"/>
          <w:szCs w:val="21"/>
        </w:rPr>
      </w:pPr>
    </w:p>
    <w:p>
      <w:pPr>
        <w:adjustRightInd w:val="0"/>
        <w:snapToGrid w:val="0"/>
        <w:spacing w:line="300" w:lineRule="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00" w:lineRule="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00" w:lineRule="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pStyle w:val="2"/>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）一般</w:t>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rFonts w:hint="eastAsia" w:ascii="宋体" w:hAnsi="宋体" w:eastAsia="宋体"/>
          <w:color w:val="auto"/>
        </w:rPr>
        <w:t>商务条款响应表</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序号</w:t>
            </w:r>
          </w:p>
        </w:tc>
        <w:tc>
          <w:tcPr>
            <w:tcW w:w="582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一般商务条款要求</w:t>
            </w:r>
          </w:p>
        </w:tc>
        <w:tc>
          <w:tcPr>
            <w:tcW w:w="75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是否响应</w:t>
            </w:r>
          </w:p>
        </w:tc>
        <w:tc>
          <w:tcPr>
            <w:tcW w:w="2017"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rPr>
                <w:rFonts w:hint="default" w:ascii="宋体"/>
                <w:color w:val="auto"/>
              </w:rPr>
            </w:pPr>
            <w:r>
              <w:rPr>
                <w:rFonts w:hint="default" w:ascii="宋体" w:hAnsi="宋体"/>
                <w:color w:val="auto"/>
              </w:rPr>
              <w:t>1</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完全理解并接受合同条款要求</w:t>
            </w: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rPr>
                <w:rFonts w:hint="default" w:ascii="宋体"/>
                <w:color w:val="auto"/>
              </w:rPr>
            </w:pPr>
            <w:r>
              <w:rPr>
                <w:rFonts w:hint="default" w:ascii="宋体" w:hAnsi="宋体"/>
                <w:color w:val="auto"/>
              </w:rPr>
              <w:t>2</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完全理解并接受对合格报价人</w:t>
            </w:r>
            <w:r>
              <w:rPr>
                <w:rFonts w:hint="default"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、合格的货物、项目和服务要求</w:t>
            </w: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r>
              <w:rPr>
                <w:rFonts w:hint="default" w:ascii="宋体" w:hAnsi="宋体"/>
                <w:color w:val="auto"/>
              </w:rPr>
              <w:t>3</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完全理解并接受对报价人</w:t>
            </w:r>
            <w:r>
              <w:rPr>
                <w:rFonts w:hint="default"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的各项须知、规约要求和责任义务</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83"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default" w:ascii="宋体" w:hAnsi="宋体"/>
                <w:color w:val="auto"/>
              </w:rPr>
              <w:t xml:space="preserve">  4</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color w:val="auto"/>
              </w:rPr>
              <w:t>在近</w:t>
            </w:r>
            <w:r>
              <w:rPr>
                <w:rFonts w:hint="eastAsia" w:ascii="宋体"/>
                <w:color w:val="auto"/>
                <w:u w:val="single"/>
              </w:rPr>
              <w:t xml:space="preserve"> </w:t>
            </w:r>
            <w:r>
              <w:rPr>
                <w:rFonts w:hint="eastAsia" w:ascii="宋体"/>
                <w:color w:val="auto"/>
                <w:u w:val="single"/>
                <w:lang w:val="en-US" w:eastAsia="zh-CN"/>
              </w:rPr>
              <w:t>2</w:t>
            </w:r>
            <w:r>
              <w:rPr>
                <w:rFonts w:hint="eastAsia" w:ascii="宋体"/>
                <w:color w:val="auto"/>
                <w:u w:val="single"/>
              </w:rPr>
              <w:t xml:space="preserve">  </w:t>
            </w:r>
            <w:r>
              <w:rPr>
                <w:rFonts w:hint="eastAsia" w:ascii="宋体"/>
                <w:color w:val="auto"/>
              </w:rPr>
              <w:t>年内具有独立完成同类项目的业绩不少于</w:t>
            </w:r>
            <w:r>
              <w:rPr>
                <w:rFonts w:hint="eastAsia" w:ascii="宋体"/>
                <w:color w:val="auto"/>
                <w:u w:val="single"/>
              </w:rPr>
              <w:t xml:space="preserve"> </w:t>
            </w:r>
            <w:r>
              <w:rPr>
                <w:rFonts w:hint="eastAsia" w:ascii="宋体"/>
                <w:color w:val="auto"/>
                <w:u w:val="single"/>
                <w:lang w:val="en-US" w:eastAsia="zh-CN"/>
              </w:rPr>
              <w:t>1</w:t>
            </w:r>
            <w:r>
              <w:rPr>
                <w:rFonts w:hint="eastAsia" w:ascii="宋体"/>
                <w:color w:val="auto"/>
                <w:u w:val="single"/>
              </w:rPr>
              <w:t xml:space="preserve">  </w:t>
            </w:r>
            <w:r>
              <w:rPr>
                <w:rFonts w:hint="eastAsia" w:ascii="宋体"/>
                <w:color w:val="auto"/>
              </w:rPr>
              <w:t>项，并可提供</w:t>
            </w:r>
            <w:r>
              <w:rPr>
                <w:rFonts w:hint="eastAsia" w:ascii="宋体"/>
                <w:color w:val="auto"/>
                <w:lang w:eastAsia="zh-CN"/>
              </w:rPr>
              <w:t>合同或中标通知书复印件</w:t>
            </w:r>
            <w:r>
              <w:rPr>
                <w:rFonts w:hint="eastAsia" w:ascii="宋体"/>
                <w:color w:val="auto"/>
              </w:rPr>
              <w:t>。</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r>
              <w:rPr>
                <w:rFonts w:hint="default" w:ascii="宋体" w:hAnsi="宋体"/>
                <w:color w:val="auto"/>
              </w:rPr>
              <w:t>5</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color w:val="auto"/>
              </w:rPr>
              <w:t>报价有效期：报价有效期为自递交报价文件起至确定正式成交日止不少于</w:t>
            </w:r>
            <w:r>
              <w:rPr>
                <w:rFonts w:hint="eastAsia" w:ascii="宋体"/>
                <w:color w:val="auto"/>
                <w:lang w:val="en-US" w:eastAsia="zh-CN"/>
              </w:rPr>
              <w:t>6</w:t>
            </w:r>
            <w:r>
              <w:rPr>
                <w:rFonts w:hint="eastAsia" w:ascii="宋体"/>
                <w:color w:val="auto"/>
                <w:u w:val="single"/>
              </w:rPr>
              <w:t>0</w:t>
            </w:r>
            <w:r>
              <w:rPr>
                <w:rFonts w:hint="eastAsia" w:ascii="宋体"/>
                <w:color w:val="auto"/>
              </w:rPr>
              <w:t>天，成交单位有效期至项目验收之日</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rPr>
                <w:rFonts w:hint="default" w:ascii="宋体"/>
                <w:color w:val="auto"/>
              </w:rPr>
            </w:pPr>
            <w:r>
              <w:rPr>
                <w:rFonts w:hint="default" w:ascii="宋体" w:hAnsi="宋体"/>
                <w:color w:val="auto"/>
              </w:rPr>
              <w:t>6</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报价内容均涵盖报价要求之一切费用和伴随服务</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r>
              <w:rPr>
                <w:rFonts w:hint="default" w:ascii="宋体" w:hAnsi="宋体"/>
                <w:color w:val="auto"/>
              </w:rPr>
              <w:t>7</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所提供的报价不高于本公司目前的报价水平</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rPr>
                <w:rFonts w:hint="default" w:ascii="宋体"/>
                <w:color w:val="auto"/>
              </w:rPr>
            </w:pPr>
            <w:r>
              <w:rPr>
                <w:rFonts w:hint="default" w:ascii="宋体" w:hAnsi="宋体"/>
                <w:color w:val="auto"/>
              </w:rPr>
              <w:t>8</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服务期：自签订合同起2年</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eastAsia" w:ascii="宋体" w:eastAsia="宋体"/>
                <w:color w:val="auto"/>
                <w:lang w:val="en-US" w:eastAsia="zh-CN"/>
              </w:rPr>
            </w:pPr>
            <w:r>
              <w:rPr>
                <w:rFonts w:hint="eastAsia" w:ascii="宋体"/>
                <w:color w:val="auto"/>
                <w:lang w:val="en-US" w:eastAsia="zh-CN"/>
              </w:rPr>
              <w:t>9</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lang w:val="en-GB"/>
              </w:rPr>
              <w:t>同意接受合同范本所列述的各项条款</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eastAsia" w:ascii="宋体" w:eastAsia="宋体"/>
                <w:color w:val="auto"/>
                <w:lang w:val="en-US" w:eastAsia="zh-CN"/>
              </w:rPr>
            </w:pPr>
            <w:r>
              <w:rPr>
                <w:rFonts w:hint="default" w:ascii="宋体" w:hAnsi="宋体"/>
                <w:color w:val="auto"/>
              </w:rPr>
              <w:t>1</w:t>
            </w:r>
            <w:r>
              <w:rPr>
                <w:rFonts w:hint="eastAsia" w:ascii="宋体" w:hAnsi="宋体"/>
                <w:color w:val="auto"/>
                <w:lang w:val="en-US" w:eastAsia="zh-CN"/>
              </w:rPr>
              <w:t>0</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同意按本项目要求缴付相关款项</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eastAsia" w:ascii="宋体" w:eastAsia="宋体"/>
                <w:color w:val="auto"/>
                <w:lang w:val="en-US" w:eastAsia="zh-CN"/>
              </w:rPr>
            </w:pPr>
            <w:r>
              <w:rPr>
                <w:rFonts w:hint="default" w:ascii="宋体" w:hAnsi="宋体"/>
                <w:color w:val="auto"/>
              </w:rPr>
              <w:t>1</w:t>
            </w:r>
            <w:r>
              <w:rPr>
                <w:rFonts w:hint="eastAsia" w:ascii="宋体" w:hAnsi="宋体"/>
                <w:color w:val="auto"/>
                <w:lang w:val="en-US" w:eastAsia="zh-CN"/>
              </w:rPr>
              <w:t>1</w:t>
            </w:r>
          </w:p>
        </w:tc>
        <w:tc>
          <w:tcPr>
            <w:tcW w:w="5828" w:type="dxa"/>
            <w:vAlign w:val="center"/>
          </w:tcPr>
          <w:p>
            <w:pPr>
              <w:pStyle w:val="22"/>
              <w:keepNext w:val="0"/>
              <w:keepLines w:val="0"/>
              <w:suppressLineNumbers w:val="0"/>
              <w:spacing w:before="0" w:beforeAutospacing="0" w:after="0" w:afterAutospacing="0"/>
              <w:ind w:left="0" w:right="0"/>
              <w:rPr>
                <w:rFonts w:hint="default" w:ascii="宋体"/>
                <w:color w:val="auto"/>
                <w:szCs w:val="21"/>
              </w:rPr>
            </w:pPr>
            <w:r>
              <w:rPr>
                <w:rFonts w:hint="eastAsia" w:ascii="宋体" w:hAnsi="宋体"/>
                <w:color w:val="auto"/>
                <w:szCs w:val="21"/>
              </w:rPr>
              <w:t>同意采购方以任何形式对我方报价</w:t>
            </w:r>
            <w:r>
              <w:rPr>
                <w:rFonts w:hint="default" w:ascii="宋体" w:hAnsi="宋体"/>
                <w:color w:val="auto"/>
                <w:szCs w:val="21"/>
              </w:rPr>
              <w:t>/</w:t>
            </w:r>
            <w:r>
              <w:rPr>
                <w:rFonts w:hint="eastAsia" w:ascii="宋体" w:hAnsi="宋体"/>
                <w:color w:val="auto"/>
                <w:szCs w:val="21"/>
              </w:rPr>
              <w:t>响应文件内容的真实性和有效性进行审查、验证</w:t>
            </w:r>
          </w:p>
        </w:tc>
        <w:tc>
          <w:tcPr>
            <w:tcW w:w="758" w:type="dxa"/>
            <w:vAlign w:val="center"/>
          </w:tcPr>
          <w:p>
            <w:pPr>
              <w:pStyle w:val="65"/>
              <w:keepNext w:val="0"/>
              <w:keepLines w:val="0"/>
              <w:suppressLineNumbers w:val="0"/>
              <w:spacing w:before="0" w:beforeAutospacing="0" w:after="0" w:afterAutospacing="0"/>
              <w:ind w:left="0" w:right="0"/>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jc w:val="both"/>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eastAsia" w:ascii="宋体" w:eastAsia="宋体"/>
                <w:color w:val="auto"/>
                <w:lang w:val="en-US" w:eastAsia="zh-CN"/>
              </w:rPr>
            </w:pPr>
            <w:r>
              <w:rPr>
                <w:rFonts w:hint="default" w:ascii="宋体" w:hAnsi="宋体"/>
                <w:color w:val="auto"/>
              </w:rPr>
              <w:t>1</w:t>
            </w:r>
            <w:r>
              <w:rPr>
                <w:rFonts w:hint="eastAsia" w:ascii="宋体" w:hAnsi="宋体"/>
                <w:color w:val="auto"/>
                <w:lang w:val="en-US" w:eastAsia="zh-CN"/>
              </w:rPr>
              <w:t>2</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 w:val="18"/>
                <w:szCs w:val="18"/>
              </w:rPr>
            </w:pPr>
            <w:r>
              <w:rPr>
                <w:rFonts w:hint="eastAsia" w:ascii="宋体" w:hAnsi="宋体"/>
                <w:color w:val="auto"/>
              </w:rPr>
              <w:t>其它商务条款偏离说明：</w:t>
            </w:r>
          </w:p>
        </w:tc>
        <w:tc>
          <w:tcPr>
            <w:tcW w:w="758" w:type="dxa"/>
            <w:vAlign w:val="center"/>
          </w:tcPr>
          <w:p>
            <w:pPr>
              <w:pStyle w:val="65"/>
              <w:keepNext w:val="0"/>
              <w:keepLines w:val="0"/>
              <w:suppressLineNumbers w:val="0"/>
              <w:spacing w:before="0" w:beforeAutospacing="0" w:after="0" w:afterAutospacing="0"/>
              <w:ind w:left="0" w:right="0"/>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jc w:val="both"/>
              <w:rPr>
                <w:rFonts w:hint="default" w:ascii="宋体"/>
                <w:color w:val="auto"/>
                <w:spacing w:val="0"/>
                <w:kern w:val="2"/>
                <w:sz w:val="18"/>
                <w:szCs w:val="18"/>
              </w:rPr>
            </w:pPr>
          </w:p>
        </w:tc>
      </w:tr>
    </w:tbl>
    <w:p>
      <w:pPr>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 xml:space="preserve"> 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420"/>
        <w:rPr>
          <w:rFonts w:ascii="宋体"/>
          <w:color w:val="auto"/>
          <w:szCs w:val="21"/>
          <w:lang w:val="en-GB"/>
        </w:rPr>
      </w:pPr>
      <w:r>
        <w:rPr>
          <w:rFonts w:ascii="宋体" w:hAnsi="宋体"/>
          <w:color w:val="auto"/>
          <w:szCs w:val="21"/>
          <w:lang w:val="en-GB"/>
        </w:rPr>
        <w:t xml:space="preserve"> 2.</w:t>
      </w:r>
      <w:r>
        <w:rPr>
          <w:rFonts w:hint="eastAsia" w:ascii="宋体" w:hAnsi="宋体"/>
          <w:color w:val="auto"/>
          <w:szCs w:val="21"/>
          <w:lang w:val="en-GB"/>
        </w:rPr>
        <w:t>本表内容不得擅自修改。</w:t>
      </w:r>
    </w:p>
    <w:p>
      <w:pPr>
        <w:adjustRightInd w:val="0"/>
        <w:snapToGrid w:val="0"/>
        <w:spacing w:line="300" w:lineRule="auto"/>
        <w:rPr>
          <w:rFonts w:hint="eastAsia" w:ascii="宋体" w:hAnsi="宋体"/>
          <w:color w:val="auto"/>
        </w:rPr>
      </w:pPr>
    </w:p>
    <w:p>
      <w:pPr>
        <w:adjustRightInd w:val="0"/>
        <w:snapToGrid w:val="0"/>
        <w:spacing w:line="300" w:lineRule="auto"/>
        <w:rPr>
          <w:rFonts w:ascii="宋体"/>
          <w:color w:val="auto"/>
          <w:u w:val="single"/>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法定代表人（或法定代表人授权代表）</w:t>
      </w:r>
      <w:r>
        <w:rPr>
          <w:rFonts w:hint="eastAsia" w:ascii="宋体" w:hAnsi="宋体"/>
          <w:color w:val="auto"/>
          <w:lang w:eastAsia="zh-CN"/>
        </w:rPr>
        <w:t>签章</w:t>
      </w:r>
      <w:r>
        <w:rPr>
          <w:rFonts w:hint="eastAsia" w:ascii="宋体" w:hAnsi="宋体"/>
          <w:color w:val="auto"/>
        </w:rPr>
        <w:t>：</w:t>
      </w:r>
      <w:r>
        <w:rPr>
          <w:rFonts w:ascii="宋体" w:hAnsi="宋体"/>
          <w:color w:val="auto"/>
          <w:u w:val="single"/>
        </w:rPr>
        <w:t xml:space="preserve">                   </w:t>
      </w:r>
    </w:p>
    <w:p>
      <w:pPr>
        <w:adjustRightInd w:val="0"/>
        <w:snapToGrid w:val="0"/>
        <w:spacing w:line="300" w:lineRule="auto"/>
        <w:rPr>
          <w:rFonts w:ascii="宋体"/>
          <w:color w:val="auto"/>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名称（</w:t>
      </w:r>
      <w:r>
        <w:rPr>
          <w:rFonts w:hint="eastAsia" w:ascii="宋体" w:hAnsi="宋体"/>
          <w:color w:val="auto"/>
          <w:lang w:eastAsia="zh-CN"/>
        </w:rPr>
        <w:t>公</w:t>
      </w:r>
      <w:r>
        <w:rPr>
          <w:rFonts w:hint="eastAsia" w:ascii="宋体" w:hAnsi="宋体"/>
          <w:color w:val="auto"/>
        </w:rPr>
        <w:t>章）：</w:t>
      </w:r>
    </w:p>
    <w:p>
      <w:pPr>
        <w:adjustRightInd w:val="0"/>
        <w:snapToGrid w:val="0"/>
        <w:spacing w:line="300" w:lineRule="auto"/>
        <w:rPr>
          <w:rFonts w:ascii="宋体"/>
          <w:color w:val="auto"/>
        </w:rPr>
      </w:pP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pPr>
        <w:pStyle w:val="3"/>
        <w:spacing w:line="480" w:lineRule="exact"/>
        <w:rPr>
          <w:color w:val="auto"/>
          <w:sz w:val="32"/>
          <w:szCs w:val="32"/>
        </w:rPr>
      </w:pPr>
      <w:r>
        <w:rPr>
          <w:color w:val="auto"/>
        </w:rPr>
        <w:br w:type="page"/>
      </w:r>
      <w:bookmarkStart w:id="47" w:name="_Hlt10456523"/>
      <w:bookmarkEnd w:id="47"/>
      <w:bookmarkStart w:id="48" w:name="_Toc42951057"/>
      <w:r>
        <w:rPr>
          <w:color w:val="auto"/>
          <w:sz w:val="32"/>
          <w:szCs w:val="32"/>
        </w:rPr>
        <w:t>8</w:t>
      </w:r>
      <w:r>
        <w:rPr>
          <w:rFonts w:hint="eastAsia"/>
          <w:color w:val="auto"/>
          <w:sz w:val="32"/>
          <w:szCs w:val="32"/>
        </w:rPr>
        <w:t>．服务费承诺书格式</w:t>
      </w:r>
      <w:bookmarkEnd w:id="48"/>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 xml:space="preserve">采购项目编号：445381-202005-81327002-0002 </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），我方保证在收到《成交通知书》后，按磋商文件规定“报价人须知”向贵公司交纳成交服务费。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rPr>
        <w:t>报价人法定名称（公章）；</w:t>
      </w:r>
    </w:p>
    <w:p>
      <w:pPr>
        <w:spacing w:line="480" w:lineRule="exact"/>
        <w:ind w:left="4700" w:leftChars="2238"/>
        <w:rPr>
          <w:rFonts w:ascii="宋体"/>
          <w:color w:val="auto"/>
        </w:rPr>
      </w:pPr>
      <w:r>
        <w:rPr>
          <w:rFonts w:hint="eastAsia" w:ascii="宋体"/>
          <w:color w:val="auto"/>
        </w:rPr>
        <w:t>报价人法定地址：</w:t>
      </w:r>
    </w:p>
    <w:p>
      <w:pPr>
        <w:spacing w:line="480" w:lineRule="exact"/>
        <w:ind w:left="4700" w:leftChars="2238"/>
        <w:rPr>
          <w:rFonts w:ascii="宋体"/>
          <w:color w:val="auto"/>
        </w:rPr>
      </w:pPr>
      <w:r>
        <w:rPr>
          <w:rFonts w:hint="eastAsia" w:ascii="宋体"/>
          <w:color w:val="auto"/>
        </w:rPr>
        <w:t>报价人授权代表（</w:t>
      </w:r>
      <w:r>
        <w:rPr>
          <w:rFonts w:hint="eastAsia" w:ascii="宋体"/>
          <w:color w:val="auto"/>
          <w:lang w:eastAsia="zh-CN"/>
        </w:rPr>
        <w:t>签章</w:t>
      </w:r>
      <w:r>
        <w:rPr>
          <w:rFonts w:hint="eastAsia" w:ascii="宋体"/>
          <w:color w:val="auto"/>
        </w:rPr>
        <w:t>）：</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3"/>
        <w:spacing w:line="480" w:lineRule="exact"/>
        <w:rPr>
          <w:color w:val="auto"/>
          <w:sz w:val="32"/>
          <w:szCs w:val="32"/>
        </w:rPr>
      </w:pPr>
      <w:r>
        <w:rPr>
          <w:color w:val="auto"/>
        </w:rPr>
        <w:br w:type="page"/>
      </w:r>
      <w:bookmarkStart w:id="49" w:name="_Hlt10520073"/>
      <w:bookmarkEnd w:id="49"/>
      <w:bookmarkStart w:id="50" w:name="_Hlt10520032"/>
      <w:bookmarkEnd w:id="50"/>
      <w:bookmarkStart w:id="51" w:name="_Toc42951058"/>
      <w:r>
        <w:rPr>
          <w:color w:val="auto"/>
          <w:sz w:val="32"/>
          <w:szCs w:val="32"/>
        </w:rPr>
        <w:t>9</w:t>
      </w:r>
      <w:r>
        <w:rPr>
          <w:rFonts w:hint="eastAsia"/>
          <w:color w:val="auto"/>
          <w:sz w:val="32"/>
          <w:szCs w:val="32"/>
        </w:rPr>
        <w:t>．其它资料格式</w:t>
      </w:r>
      <w:bookmarkEnd w:id="51"/>
    </w:p>
    <w:p>
      <w:pPr>
        <w:keepNext w:val="0"/>
        <w:keepLines w:val="0"/>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9.1  </w:t>
      </w:r>
      <w:r>
        <w:rPr>
          <w:rFonts w:hint="eastAsia" w:ascii="宋体"/>
          <w:color w:val="auto"/>
        </w:rPr>
        <w:t>报价人简介；</w:t>
      </w:r>
    </w:p>
    <w:p>
      <w:pPr>
        <w:keepNext w:val="0"/>
        <w:keepLines w:val="0"/>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9.2  </w:t>
      </w:r>
      <w:r>
        <w:rPr>
          <w:rFonts w:hint="eastAsia" w:ascii="宋体" w:hAnsi="宋体"/>
          <w:color w:val="auto"/>
        </w:rPr>
        <w:t>提供</w:t>
      </w:r>
      <w:r>
        <w:rPr>
          <w:rFonts w:hint="eastAsia" w:ascii="宋体" w:hAnsi="宋体"/>
          <w:color w:val="auto"/>
          <w:szCs w:val="21"/>
        </w:rPr>
        <w:t>同类项目业绩</w:t>
      </w:r>
      <w:r>
        <w:rPr>
          <w:rFonts w:hint="eastAsia" w:ascii="宋体"/>
          <w:color w:val="auto"/>
          <w:lang w:eastAsia="zh-CN"/>
        </w:rPr>
        <w:t>（具体要求见前文）。</w:t>
      </w:r>
    </w:p>
    <w:p>
      <w:pPr>
        <w:keepNext w:val="0"/>
        <w:keepLines w:val="0"/>
        <w:pageBreakBefore w:val="0"/>
        <w:widowControl/>
        <w:kinsoku/>
        <w:wordWrap/>
        <w:overflowPunct/>
        <w:topLinePunct w:val="0"/>
        <w:autoSpaceDE/>
        <w:autoSpaceDN/>
        <w:bidi w:val="0"/>
        <w:adjustRightInd/>
        <w:snapToGrid/>
        <w:spacing w:line="480" w:lineRule="auto"/>
        <w:ind w:left="525" w:leftChars="100" w:hanging="315" w:hangingChars="150"/>
        <w:jc w:val="both"/>
        <w:textAlignment w:val="auto"/>
        <w:rPr>
          <w:rFonts w:hint="eastAsia" w:ascii="宋体" w:eastAsia="宋体"/>
          <w:color w:val="auto"/>
          <w:lang w:eastAsia="zh-CN"/>
        </w:rPr>
      </w:pPr>
      <w:r>
        <w:rPr>
          <w:rFonts w:ascii="宋体"/>
          <w:color w:val="auto"/>
        </w:rPr>
        <w:t>9.3</w:t>
      </w:r>
      <w:r>
        <w:rPr>
          <w:rFonts w:hint="eastAsia" w:ascii="宋体"/>
          <w:color w:val="auto"/>
          <w:lang w:val="en-US" w:eastAsia="zh-CN"/>
        </w:rPr>
        <w:t xml:space="preserve"> </w:t>
      </w:r>
      <w:r>
        <w:rPr>
          <w:rFonts w:hint="eastAsia" w:ascii="宋体"/>
          <w:color w:val="auto"/>
        </w:rPr>
        <w:t>提供</w:t>
      </w:r>
      <w:r>
        <w:rPr>
          <w:rFonts w:hint="eastAsia" w:ascii="宋体"/>
          <w:color w:val="auto"/>
          <w:lang w:eastAsia="zh-CN"/>
        </w:rPr>
        <w:t>招标文件要求的财务报告或其他相关资料（具体要求见前文）。</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9.4  </w:t>
      </w:r>
      <w:r>
        <w:rPr>
          <w:rFonts w:hint="eastAsia" w:ascii="宋体"/>
          <w:color w:val="auto"/>
        </w:rPr>
        <w:t>关于诉讼。</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9.5  </w:t>
      </w:r>
      <w:r>
        <w:rPr>
          <w:rFonts w:hint="eastAsia" w:ascii="宋体"/>
          <w:color w:val="auto"/>
        </w:rPr>
        <w:t>名称变更证明</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9.6  </w:t>
      </w:r>
      <w:r>
        <w:rPr>
          <w:rFonts w:hint="eastAsia" w:ascii="宋体"/>
          <w:color w:val="auto"/>
        </w:rPr>
        <w:t>报价人获奖情况及质量认证</w:t>
      </w:r>
    </w:p>
    <w:p>
      <w:pPr>
        <w:keepNext w:val="0"/>
        <w:keepLines w:val="0"/>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9.7  </w:t>
      </w:r>
      <w:r>
        <w:rPr>
          <w:rFonts w:hint="eastAsia" w:ascii="宋体"/>
          <w:color w:val="auto"/>
        </w:rPr>
        <w:t>报价人认为有必要提供的其它资料。</w:t>
      </w:r>
      <w:r>
        <w:rPr>
          <w:rFonts w:ascii="宋体"/>
          <w:color w:val="auto"/>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315" w:firstLineChars="150"/>
        <w:textAlignment w:val="auto"/>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技术商务</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4"/>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27"/>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单位名称</w:t>
            </w:r>
          </w:p>
        </w:tc>
        <w:tc>
          <w:tcPr>
            <w:tcW w:w="7818" w:type="dxa"/>
            <w:gridSpan w:val="9"/>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地址</w:t>
            </w:r>
          </w:p>
        </w:tc>
        <w:tc>
          <w:tcPr>
            <w:tcW w:w="7818" w:type="dxa"/>
            <w:gridSpan w:val="9"/>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主管部门</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法人代表</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职务</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经济类型</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授权代表</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职务</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邮编</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电话</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传真</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单位简介及机构设置</w:t>
            </w:r>
          </w:p>
        </w:tc>
        <w:tc>
          <w:tcPr>
            <w:tcW w:w="7818" w:type="dxa"/>
            <w:gridSpan w:val="9"/>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单位优势及特长</w:t>
            </w:r>
          </w:p>
        </w:tc>
        <w:tc>
          <w:tcPr>
            <w:tcW w:w="7818" w:type="dxa"/>
            <w:gridSpan w:val="9"/>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单位概况</w:t>
            </w: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注册资本</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占地面积</w:t>
            </w:r>
          </w:p>
        </w:tc>
        <w:tc>
          <w:tcPr>
            <w:tcW w:w="3498" w:type="dxa"/>
            <w:gridSpan w:val="5"/>
          </w:tcPr>
          <w:p>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宋体"/>
                <w:color w:val="auto"/>
                <w:szCs w:val="21"/>
              </w:rPr>
            </w:pPr>
            <w:r>
              <w:rPr>
                <w:rFonts w:hint="default" w:ascii="宋体" w:hAnsi="宋体"/>
                <w:color w:val="auto"/>
                <w:szCs w:val="21"/>
              </w:rPr>
              <w:t>M</w:t>
            </w:r>
            <w:r>
              <w:rPr>
                <w:rFonts w:hint="default"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职工总数</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人</w:t>
            </w: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建筑面积</w:t>
            </w:r>
          </w:p>
        </w:tc>
        <w:tc>
          <w:tcPr>
            <w:tcW w:w="3498" w:type="dxa"/>
            <w:gridSpan w:val="5"/>
          </w:tcPr>
          <w:p>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宋体"/>
                <w:color w:val="auto"/>
                <w:szCs w:val="21"/>
              </w:rPr>
            </w:pPr>
            <w:r>
              <w:rPr>
                <w:rFonts w:hint="default" w:ascii="宋体" w:hAnsi="宋体"/>
                <w:color w:val="auto"/>
                <w:szCs w:val="21"/>
              </w:rPr>
              <w:t>M</w:t>
            </w:r>
            <w:r>
              <w:rPr>
                <w:rFonts w:hint="default"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资产情况</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净资产</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3498" w:type="dxa"/>
            <w:gridSpan w:val="5"/>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固定资产原值</w:t>
            </w:r>
            <w:r>
              <w:rPr>
                <w:rFonts w:hint="default"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负债</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3498" w:type="dxa"/>
            <w:gridSpan w:val="5"/>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固定资产净值</w:t>
            </w:r>
            <w:r>
              <w:rPr>
                <w:rFonts w:hint="default"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财务状况</w:t>
            </w: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年度</w:t>
            </w:r>
          </w:p>
        </w:tc>
        <w:tc>
          <w:tcPr>
            <w:tcW w:w="146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主营收入</w:t>
            </w:r>
          </w:p>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（万元）</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收入总额</w:t>
            </w:r>
          </w:p>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（万元）</w:t>
            </w: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利润总额（万元）</w:t>
            </w: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净利润（万元）</w:t>
            </w: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eastAsia="宋体"/>
                <w:color w:val="auto"/>
                <w:szCs w:val="21"/>
                <w:lang w:val="en-US" w:eastAsia="zh-CN"/>
              </w:rPr>
            </w:pPr>
            <w:r>
              <w:rPr>
                <w:rFonts w:hint="default" w:ascii="宋体" w:hAnsi="宋体"/>
                <w:color w:val="auto"/>
                <w:szCs w:val="21"/>
              </w:rPr>
              <w:t>201</w:t>
            </w:r>
            <w:r>
              <w:rPr>
                <w:rFonts w:hint="eastAsia" w:ascii="宋体" w:hAnsi="宋体"/>
                <w:color w:val="auto"/>
                <w:szCs w:val="21"/>
                <w:lang w:val="en-US" w:eastAsia="zh-CN"/>
              </w:rPr>
              <w:t>7</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eastAsia="宋体"/>
                <w:color w:val="auto"/>
                <w:szCs w:val="21"/>
                <w:lang w:val="en-US" w:eastAsia="zh-CN"/>
              </w:rPr>
            </w:pPr>
            <w:r>
              <w:rPr>
                <w:rFonts w:hint="default" w:ascii="宋体" w:hAnsi="宋体"/>
                <w:color w:val="auto"/>
                <w:szCs w:val="21"/>
              </w:rPr>
              <w:t>201</w:t>
            </w:r>
            <w:r>
              <w:rPr>
                <w:rFonts w:hint="eastAsia" w:ascii="宋体" w:hAnsi="宋体"/>
                <w:color w:val="auto"/>
                <w:szCs w:val="21"/>
                <w:lang w:val="en-US" w:eastAsia="zh-CN"/>
              </w:rPr>
              <w:t>8</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rPr>
        <w:t>报价人提供同类项目业绩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27"/>
        <w:tblW w:w="7852" w:type="dxa"/>
        <w:tblInd w:w="30" w:type="dxa"/>
        <w:tblLayout w:type="fixed"/>
        <w:tblCellMar>
          <w:top w:w="0" w:type="dxa"/>
          <w:left w:w="30" w:type="dxa"/>
          <w:bottom w:w="0" w:type="dxa"/>
          <w:right w:w="30" w:type="dxa"/>
        </w:tblCellMar>
      </w:tblPr>
      <w:tblGrid>
        <w:gridCol w:w="641"/>
        <w:gridCol w:w="1763"/>
        <w:gridCol w:w="1442"/>
        <w:gridCol w:w="1442"/>
        <w:gridCol w:w="1282"/>
        <w:gridCol w:w="1282"/>
      </w:tblGrid>
      <w:tr>
        <w:tblPrEx>
          <w:tblCellMar>
            <w:top w:w="0" w:type="dxa"/>
            <w:left w:w="30" w:type="dxa"/>
            <w:bottom w:w="0" w:type="dxa"/>
            <w:right w:w="30" w:type="dxa"/>
          </w:tblCellMar>
        </w:tblPrEx>
        <w:trPr>
          <w:trHeight w:val="502" w:hRule="atLeast"/>
        </w:trPr>
        <w:tc>
          <w:tcPr>
            <w:tcW w:w="641" w:type="dxa"/>
            <w:tcBorders>
              <w:top w:val="double" w:color="auto" w:sz="4" w:space="0"/>
              <w:left w:val="doub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序号</w:t>
            </w:r>
          </w:p>
        </w:tc>
        <w:tc>
          <w:tcPr>
            <w:tcW w:w="1763" w:type="dxa"/>
            <w:tcBorders>
              <w:top w:val="doub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项目名称</w:t>
            </w:r>
          </w:p>
        </w:tc>
        <w:tc>
          <w:tcPr>
            <w:tcW w:w="1442" w:type="dxa"/>
            <w:tcBorders>
              <w:top w:val="doub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项目地址</w:t>
            </w:r>
          </w:p>
        </w:tc>
        <w:tc>
          <w:tcPr>
            <w:tcW w:w="1442" w:type="dxa"/>
            <w:tcBorders>
              <w:top w:val="doub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合同内容</w:t>
            </w:r>
          </w:p>
        </w:tc>
        <w:tc>
          <w:tcPr>
            <w:tcW w:w="1282" w:type="dxa"/>
            <w:tcBorders>
              <w:top w:val="double" w:color="auto" w:sz="4"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合同总价</w:t>
            </w:r>
          </w:p>
        </w:tc>
        <w:tc>
          <w:tcPr>
            <w:tcW w:w="1282" w:type="dxa"/>
            <w:tcBorders>
              <w:top w:val="double" w:color="auto" w:sz="4" w:space="0"/>
              <w:left w:val="nil"/>
              <w:bottom w:val="single" w:color="auto" w:sz="4" w:space="0"/>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签约日期</w:t>
            </w:r>
          </w:p>
        </w:tc>
      </w:tr>
      <w:tr>
        <w:tblPrEx>
          <w:tblCellMar>
            <w:top w:w="0" w:type="dxa"/>
            <w:left w:w="30" w:type="dxa"/>
            <w:bottom w:w="0" w:type="dxa"/>
            <w:right w:w="30" w:type="dxa"/>
          </w:tblCellMar>
        </w:tblPrEx>
        <w:trPr>
          <w:trHeight w:val="502" w:hRule="atLeast"/>
        </w:trPr>
        <w:tc>
          <w:tcPr>
            <w:tcW w:w="641" w:type="dxa"/>
            <w:tcBorders>
              <w:top w:val="single" w:color="auto" w:sz="4"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4"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double" w:color="auto" w:sz="4"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r>
              <w:rPr>
                <w:rFonts w:hint="eastAsia" w:ascii="宋体" w:hAnsi="宋体"/>
                <w:color w:val="auto"/>
                <w:szCs w:val="21"/>
              </w:rPr>
              <w:t>合计</w:t>
            </w:r>
          </w:p>
        </w:tc>
        <w:tc>
          <w:tcPr>
            <w:tcW w:w="1763" w:type="dxa"/>
            <w:tcBorders>
              <w:top w:val="single" w:color="auto" w:sz="6" w:space="0"/>
              <w:left w:val="single" w:color="auto" w:sz="6" w:space="0"/>
              <w:bottom w:val="double" w:color="auto" w:sz="4"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doub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double" w:color="auto" w:sz="4"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列出同</w:t>
      </w:r>
      <w:r>
        <w:rPr>
          <w:rFonts w:hint="eastAsia" w:ascii="宋体" w:hAnsi="宋体"/>
          <w:color w:val="auto"/>
          <w:szCs w:val="21"/>
        </w:rPr>
        <w:t>类项目</w:t>
      </w:r>
      <w:r>
        <w:rPr>
          <w:rFonts w:hint="eastAsia" w:ascii="宋体"/>
          <w:color w:val="auto"/>
        </w:rPr>
        <w:t>业绩；</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rPr>
        <w:t>须提供所填业绩的</w:t>
      </w:r>
      <w:r>
        <w:rPr>
          <w:rFonts w:hint="eastAsia" w:ascii="宋体" w:hAnsi="宋体" w:cs="Arial"/>
          <w:color w:val="auto"/>
          <w:szCs w:val="21"/>
        </w:rPr>
        <w:t>合同</w:t>
      </w:r>
      <w:r>
        <w:rPr>
          <w:rFonts w:hint="eastAsia" w:ascii="宋体" w:hAnsi="宋体" w:cs="Arial"/>
          <w:color w:val="auto"/>
          <w:szCs w:val="21"/>
          <w:lang w:eastAsia="zh-CN"/>
        </w:rPr>
        <w:t>或中标通知书</w:t>
      </w:r>
      <w:r>
        <w:rPr>
          <w:rFonts w:hint="eastAsia" w:ascii="宋体" w:hAnsi="宋体" w:cs="Arial"/>
          <w:color w:val="auto"/>
          <w:szCs w:val="21"/>
        </w:rPr>
        <w:t>复印件</w:t>
      </w:r>
      <w:r>
        <w:rPr>
          <w:rFonts w:hint="eastAsia" w:ascii="宋体"/>
          <w:color w:val="auto"/>
        </w:rPr>
        <w:t>并加盖公章。</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9.3</w:t>
      </w:r>
      <w:r>
        <w:rPr>
          <w:rFonts w:hint="eastAsia" w:ascii="宋体"/>
          <w:b/>
          <w:color w:val="auto"/>
          <w:sz w:val="28"/>
          <w:szCs w:val="28"/>
          <w:lang w:eastAsia="zh-CN"/>
        </w:rPr>
        <w:t>提供</w:t>
      </w:r>
      <w:r>
        <w:rPr>
          <w:rFonts w:hint="eastAsia" w:ascii="宋体"/>
          <w:b/>
          <w:color w:val="auto"/>
          <w:sz w:val="28"/>
          <w:szCs w:val="28"/>
        </w:rPr>
        <w:t>的财务报表</w:t>
      </w:r>
    </w:p>
    <w:p>
      <w:pPr>
        <w:spacing w:line="480" w:lineRule="exact"/>
        <w:ind w:firstLine="420"/>
        <w:rPr>
          <w:rFonts w:hint="eastAsia" w:ascii="宋体" w:eastAsia="宋体"/>
          <w:color w:val="auto"/>
          <w:lang w:val="en-US" w:eastAsia="zh-CN"/>
        </w:rPr>
      </w:pPr>
      <w:r>
        <w:rPr>
          <w:rFonts w:hint="eastAsia" w:ascii="宋体" w:hAnsi="宋体"/>
          <w:color w:val="auto"/>
        </w:rPr>
        <w:t>报价人</w:t>
      </w:r>
      <w:r>
        <w:rPr>
          <w:rFonts w:hint="eastAsia" w:ascii="宋体" w:hAnsi="宋体"/>
          <w:color w:val="auto"/>
          <w:lang w:eastAsia="zh-CN"/>
        </w:rPr>
        <w:t>按招标文件要求</w:t>
      </w:r>
      <w:r>
        <w:rPr>
          <w:rFonts w:hint="eastAsia" w:ascii="宋体" w:hAnsi="宋体"/>
          <w:color w:val="auto"/>
        </w:rPr>
        <w:t>提供</w:t>
      </w:r>
      <w:r>
        <w:rPr>
          <w:rFonts w:hint="eastAsia" w:ascii="宋体" w:hAnsi="宋体"/>
          <w:color w:val="auto"/>
          <w:lang w:eastAsia="zh-CN"/>
        </w:rPr>
        <w:t>的</w:t>
      </w:r>
      <w:r>
        <w:rPr>
          <w:rFonts w:hint="eastAsia" w:ascii="宋体" w:hAnsi="宋体"/>
          <w:color w:val="auto"/>
        </w:rPr>
        <w:t>由会计师事务所出具的审计报告，如响应</w:t>
      </w:r>
      <w:r>
        <w:rPr>
          <w:rFonts w:hint="eastAsia" w:ascii="宋体" w:hAnsi="宋体"/>
          <w:color w:val="auto"/>
          <w:lang w:eastAsia="zh-CN"/>
        </w:rPr>
        <w:t>报价人</w:t>
      </w:r>
      <w:r>
        <w:rPr>
          <w:rFonts w:hint="eastAsia" w:ascii="宋体" w:hAnsi="宋体"/>
          <w:color w:val="auto"/>
        </w:rPr>
        <w:t>为新注册的，提供成立至今的月或季度财务状况报告复印件</w:t>
      </w:r>
      <w:r>
        <w:rPr>
          <w:rFonts w:hint="eastAsia" w:ascii="宋体" w:hAnsi="宋体"/>
          <w:color w:val="auto"/>
          <w:lang w:eastAsia="zh-CN"/>
        </w:rPr>
        <w:t>。</w:t>
      </w:r>
    </w:p>
    <w:p>
      <w:pPr>
        <w:spacing w:line="480" w:lineRule="exact"/>
        <w:ind w:firstLine="420"/>
        <w:rPr>
          <w:rFonts w:ascii="宋体"/>
          <w:color w:val="auto"/>
          <w:sz w:val="28"/>
          <w:szCs w:val="28"/>
        </w:rPr>
      </w:pPr>
    </w:p>
    <w:p>
      <w:pPr>
        <w:spacing w:line="480" w:lineRule="exact"/>
        <w:rPr>
          <w:rFonts w:ascii="宋体"/>
          <w:b/>
          <w:color w:val="auto"/>
          <w:sz w:val="28"/>
          <w:szCs w:val="28"/>
        </w:rPr>
      </w:pPr>
      <w:r>
        <w:rPr>
          <w:rFonts w:ascii="宋体"/>
          <w:b/>
          <w:color w:val="auto"/>
          <w:sz w:val="28"/>
          <w:szCs w:val="28"/>
        </w:rPr>
        <w:t xml:space="preserve">9.4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 xml:space="preserve">9.5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 xml:space="preserve">9.6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 xml:space="preserve">9.7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技术商务</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b/>
          <w:color w:val="auto"/>
          <w:sz w:val="24"/>
        </w:rPr>
        <w:br w:type="page"/>
      </w:r>
      <w:bookmarkStart w:id="52" w:name="_Hlt10462379"/>
      <w:bookmarkEnd w:id="52"/>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服</w:t>
      </w:r>
      <w:r>
        <w:rPr>
          <w:rFonts w:hint="eastAsia"/>
          <w:b/>
          <w:color w:val="auto"/>
          <w:sz w:val="44"/>
          <w:szCs w:val="44"/>
          <w:lang w:val="en-US" w:eastAsia="zh-CN"/>
        </w:rPr>
        <w:t xml:space="preserve"> </w:t>
      </w:r>
      <w:r>
        <w:rPr>
          <w:rFonts w:hint="eastAsia"/>
          <w:b/>
          <w:color w:val="auto"/>
          <w:sz w:val="44"/>
          <w:szCs w:val="44"/>
          <w:lang w:eastAsia="zh-CN"/>
        </w:rPr>
        <w:t>务</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5"/>
        <w:spacing w:line="480" w:lineRule="exact"/>
        <w:jc w:val="center"/>
        <w:outlineLvl w:val="0"/>
        <w:rPr>
          <w:b/>
          <w:color w:val="auto"/>
          <w:sz w:val="44"/>
          <w:szCs w:val="44"/>
        </w:rPr>
      </w:pPr>
    </w:p>
    <w:p>
      <w:pPr>
        <w:pStyle w:val="3"/>
        <w:spacing w:line="480" w:lineRule="exact"/>
        <w:rPr>
          <w:rFonts w:hAnsi="宋体"/>
          <w:color w:val="auto"/>
          <w:kern w:val="2"/>
          <w:sz w:val="32"/>
          <w:szCs w:val="32"/>
        </w:rPr>
      </w:pPr>
      <w:r>
        <w:rPr>
          <w:color w:val="auto"/>
        </w:rPr>
        <w:br w:type="page"/>
      </w:r>
      <w:bookmarkStart w:id="53" w:name="_Hlt10523647"/>
      <w:bookmarkEnd w:id="53"/>
      <w:bookmarkStart w:id="54" w:name="_Hlt10520028"/>
      <w:bookmarkEnd w:id="54"/>
      <w:bookmarkStart w:id="55" w:name="_Toc42951059"/>
      <w:r>
        <w:rPr>
          <w:color w:val="auto"/>
          <w:sz w:val="32"/>
          <w:szCs w:val="32"/>
        </w:rPr>
        <w:t>10</w:t>
      </w:r>
      <w:r>
        <w:rPr>
          <w:rFonts w:hint="eastAsia"/>
          <w:color w:val="auto"/>
          <w:sz w:val="32"/>
          <w:szCs w:val="32"/>
        </w:rPr>
        <w:t>．</w:t>
      </w:r>
      <w:bookmarkEnd w:id="55"/>
      <w:bookmarkStart w:id="56" w:name="_Toc4471859"/>
      <w:bookmarkStart w:id="57" w:name="_Toc42956284"/>
      <w:r>
        <w:rPr>
          <w:rFonts w:hint="eastAsia"/>
          <w:color w:val="auto"/>
          <w:sz w:val="32"/>
          <w:szCs w:val="32"/>
          <w:lang w:eastAsia="zh-CN"/>
        </w:rPr>
        <w:t>服务</w:t>
      </w:r>
      <w:r>
        <w:rPr>
          <w:rFonts w:hint="eastAsia" w:hAnsi="宋体"/>
          <w:color w:val="auto"/>
          <w:kern w:val="2"/>
          <w:sz w:val="32"/>
          <w:szCs w:val="32"/>
        </w:rPr>
        <w:t>方案响应文件格式</w:t>
      </w:r>
    </w:p>
    <w:p>
      <w:pPr>
        <w:rPr>
          <w:color w:val="auto"/>
        </w:rPr>
      </w:pPr>
    </w:p>
    <w:p>
      <w:pPr>
        <w:rPr>
          <w:b/>
          <w:color w:val="auto"/>
          <w:sz w:val="24"/>
          <w:szCs w:val="24"/>
        </w:rPr>
      </w:pPr>
      <w:bookmarkStart w:id="58" w:name="_Toc42956283"/>
      <w:r>
        <w:rPr>
          <w:rFonts w:ascii="宋体" w:hAnsi="宋体"/>
          <w:b/>
          <w:color w:val="auto"/>
          <w:sz w:val="28"/>
          <w:szCs w:val="28"/>
        </w:rPr>
        <w:t>10.1</w:t>
      </w:r>
      <w:bookmarkEnd w:id="58"/>
      <w:r>
        <w:rPr>
          <w:rFonts w:ascii="宋体" w:hAnsi="宋体"/>
          <w:b/>
          <w:color w:val="auto"/>
          <w:sz w:val="28"/>
          <w:szCs w:val="28"/>
        </w:rPr>
        <w:t xml:space="preserve"> </w:t>
      </w:r>
      <w:r>
        <w:rPr>
          <w:rFonts w:hint="eastAsia"/>
          <w:b/>
          <w:color w:val="auto"/>
          <w:sz w:val="24"/>
          <w:szCs w:val="24"/>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27"/>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1</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2</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3</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4</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bl>
    <w:p>
      <w:pPr>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3"/>
        <w:spacing w:line="480" w:lineRule="exact"/>
        <w:rPr>
          <w:rFonts w:hAnsi="宋体"/>
          <w:b w:val="0"/>
          <w:color w:val="auto"/>
          <w:szCs w:val="21"/>
        </w:rPr>
      </w:pPr>
    </w:p>
    <w:p>
      <w:pPr>
        <w:pStyle w:val="15"/>
        <w:spacing w:line="480" w:lineRule="exact"/>
        <w:ind w:firstLine="5373" w:firstLineChars="2559"/>
        <w:rPr>
          <w:rFonts w:hAnsi="宋体"/>
          <w:color w:val="auto"/>
        </w:rPr>
      </w:pPr>
      <w:r>
        <w:rPr>
          <w:rFonts w:hint="eastAsia" w:hAnsi="宋体"/>
          <w:color w:val="auto"/>
        </w:rPr>
        <w:t>报价人（公章）：</w:t>
      </w:r>
    </w:p>
    <w:p>
      <w:pPr>
        <w:pStyle w:val="15"/>
        <w:spacing w:line="480" w:lineRule="exact"/>
        <w:ind w:firstLine="5373" w:firstLineChars="2559"/>
        <w:rPr>
          <w:rFonts w:hAnsi="宋体"/>
          <w:color w:val="auto"/>
        </w:rPr>
      </w:pPr>
      <w:r>
        <w:rPr>
          <w:rFonts w:hint="eastAsia" w:hAnsi="宋体"/>
          <w:color w:val="auto"/>
        </w:rPr>
        <w:t>授权代表（</w:t>
      </w:r>
      <w:r>
        <w:rPr>
          <w:rFonts w:hint="eastAsia" w:hAnsi="宋体"/>
          <w:color w:val="auto"/>
          <w:lang w:eastAsia="zh-CN"/>
        </w:rPr>
        <w:t>签章</w:t>
      </w:r>
      <w:r>
        <w:rPr>
          <w:rFonts w:hint="eastAsia" w:hAnsi="宋体"/>
          <w:color w:val="auto"/>
        </w:rPr>
        <w:t>）：</w:t>
      </w:r>
    </w:p>
    <w:p>
      <w:pPr>
        <w:spacing w:line="480" w:lineRule="exact"/>
        <w:ind w:firstLine="5373" w:firstLineChars="2559"/>
        <w:jc w:val="both"/>
        <w:rPr>
          <w:rFonts w:ascii="宋体"/>
          <w:color w:val="auto"/>
        </w:rPr>
      </w:pPr>
      <w:r>
        <w:rPr>
          <w:rFonts w:hint="eastAsia" w:ascii="宋体" w:hAnsi="宋体"/>
          <w:color w:val="auto"/>
        </w:rPr>
        <w:t>日期：</w:t>
      </w:r>
    </w:p>
    <w:p>
      <w:pPr>
        <w:pStyle w:val="15"/>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）一般服务需求响应表</w:t>
      </w:r>
    </w:p>
    <w:tbl>
      <w:tblPr>
        <w:tblStyle w:val="27"/>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序号</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招标要求</w:t>
            </w: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b/>
                <w:bCs/>
                <w:color w:val="auto"/>
                <w:szCs w:val="21"/>
              </w:rPr>
              <w:t>投标</w:t>
            </w:r>
            <w:r>
              <w:rPr>
                <w:rFonts w:hint="default"/>
                <w:b/>
                <w:bCs/>
                <w:color w:val="auto"/>
                <w:szCs w:val="21"/>
              </w:rPr>
              <w:t>/</w:t>
            </w:r>
            <w:r>
              <w:rPr>
                <w:rFonts w:hint="eastAsia"/>
                <w:b/>
                <w:bCs/>
                <w:color w:val="auto"/>
                <w:szCs w:val="21"/>
              </w:rPr>
              <w:t>响应服务实际情况</w:t>
            </w: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是否偏离（无偏离</w:t>
            </w:r>
            <w:r>
              <w:rPr>
                <w:rFonts w:hint="default" w:ascii="宋体" w:hAnsi="宋体"/>
                <w:b/>
                <w:color w:val="auto"/>
                <w:szCs w:val="21"/>
              </w:rPr>
              <w:t>/</w:t>
            </w:r>
            <w:r>
              <w:rPr>
                <w:rFonts w:hint="eastAsia" w:ascii="宋体" w:hAnsi="宋体"/>
                <w:b/>
                <w:color w:val="auto"/>
                <w:szCs w:val="21"/>
              </w:rPr>
              <w:t>正偏离</w:t>
            </w:r>
            <w:r>
              <w:rPr>
                <w:rFonts w:hint="default" w:ascii="宋体" w:hAnsi="宋体"/>
                <w:b/>
                <w:color w:val="auto"/>
                <w:szCs w:val="21"/>
              </w:rPr>
              <w:t>/</w:t>
            </w:r>
            <w:r>
              <w:rPr>
                <w:rFonts w:hint="eastAsia" w:ascii="宋体" w:hAnsi="宋体"/>
                <w:b/>
                <w:color w:val="auto"/>
                <w:szCs w:val="21"/>
              </w:rPr>
              <w:t>负偏离）</w:t>
            </w: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1</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2</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3</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4</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5</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6</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7</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8</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eastAsia" w:ascii="宋体" w:hAnsi="宋体"/>
                <w:color w:val="auto"/>
                <w:szCs w:val="21"/>
              </w:rPr>
              <w:t>…</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5"/>
        <w:spacing w:line="480" w:lineRule="exact"/>
        <w:ind w:left="0" w:leftChars="0" w:firstLine="5040" w:firstLineChars="2400"/>
        <w:rPr>
          <w:rFonts w:hAnsi="宋体"/>
          <w:bCs/>
          <w:color w:val="auto"/>
        </w:rPr>
      </w:pPr>
      <w:r>
        <w:rPr>
          <w:rFonts w:hint="eastAsia" w:hAnsi="宋体"/>
          <w:bCs/>
          <w:color w:val="auto"/>
        </w:rPr>
        <w:t>报价人（公章）：</w:t>
      </w:r>
    </w:p>
    <w:p>
      <w:pPr>
        <w:pStyle w:val="15"/>
        <w:spacing w:line="480" w:lineRule="exact"/>
        <w:ind w:left="0" w:leftChars="0" w:firstLine="5040" w:firstLineChars="2400"/>
        <w:rPr>
          <w:rFonts w:hAnsi="宋体"/>
          <w:bCs/>
          <w:color w:val="auto"/>
        </w:rPr>
      </w:pPr>
      <w:r>
        <w:rPr>
          <w:rFonts w:hint="eastAsia" w:hAnsi="宋体"/>
          <w:bCs/>
          <w:color w:val="auto"/>
        </w:rPr>
        <w:t>授权代表（</w:t>
      </w:r>
      <w:r>
        <w:rPr>
          <w:rFonts w:hint="eastAsia" w:hAnsi="宋体"/>
          <w:bCs/>
          <w:color w:val="auto"/>
          <w:lang w:eastAsia="zh-CN"/>
        </w:rPr>
        <w:t>签章</w:t>
      </w:r>
      <w:r>
        <w:rPr>
          <w:rFonts w:hint="eastAsia" w:hAnsi="宋体"/>
          <w:bCs/>
          <w:color w:val="auto"/>
        </w:rPr>
        <w:t>）：</w:t>
      </w:r>
    </w:p>
    <w:p>
      <w:pPr>
        <w:pStyle w:val="15"/>
        <w:spacing w:line="480" w:lineRule="exact"/>
        <w:ind w:left="0" w:leftChars="0" w:firstLine="5040" w:firstLineChars="2400"/>
        <w:rPr>
          <w:rFonts w:hAnsi="宋体"/>
          <w:bCs/>
          <w:color w:val="auto"/>
        </w:rPr>
      </w:pPr>
      <w:r>
        <w:rPr>
          <w:rFonts w:hint="eastAsia" w:hAnsi="宋体"/>
          <w:bCs/>
          <w:color w:val="auto"/>
        </w:rPr>
        <w:t>日期：</w:t>
      </w:r>
    </w:p>
    <w:p>
      <w:pPr>
        <w:pStyle w:val="15"/>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服务</w:t>
      </w:r>
      <w:r>
        <w:rPr>
          <w:rFonts w:hint="eastAsia" w:ascii="宋体" w:hAnsi="宋体"/>
          <w:b/>
          <w:color w:val="auto"/>
          <w:sz w:val="32"/>
          <w:szCs w:val="32"/>
        </w:rPr>
        <w:t>方案</w:t>
      </w:r>
    </w:p>
    <w:p>
      <w:pPr>
        <w:pStyle w:val="15"/>
        <w:spacing w:line="360" w:lineRule="auto"/>
        <w:ind w:firstLine="403" w:firstLineChars="192"/>
        <w:rPr>
          <w:rFonts w:hAnsi="宋体"/>
          <w:color w:val="auto"/>
          <w:szCs w:val="21"/>
        </w:rPr>
      </w:pPr>
    </w:p>
    <w:p>
      <w:pPr>
        <w:pStyle w:val="15"/>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服务</w:t>
      </w:r>
      <w:r>
        <w:rPr>
          <w:rFonts w:hint="eastAsia" w:hAnsi="宋体"/>
          <w:color w:val="auto"/>
          <w:szCs w:val="21"/>
        </w:rPr>
        <w:t>方案的编写</w:t>
      </w:r>
      <w:r>
        <w:rPr>
          <w:rFonts w:hint="eastAsia" w:hAnsi="宋体"/>
          <w:color w:val="auto"/>
          <w:szCs w:val="21"/>
          <w:lang w:eastAsia="zh-CN"/>
        </w:rPr>
        <w:t>，包括但不限于以下内容：</w:t>
      </w:r>
    </w:p>
    <w:p>
      <w:pPr>
        <w:pStyle w:val="15"/>
        <w:numPr>
          <w:ilvl w:val="0"/>
          <w:numId w:val="20"/>
        </w:numPr>
        <w:spacing w:line="360" w:lineRule="auto"/>
        <w:ind w:firstLine="403" w:firstLineChars="192"/>
        <w:rPr>
          <w:rFonts w:hint="eastAsia" w:hAnsi="宋体"/>
          <w:color w:val="auto"/>
          <w:szCs w:val="21"/>
          <w:lang w:eastAsia="zh-CN"/>
        </w:rPr>
      </w:pPr>
      <w:r>
        <w:rPr>
          <w:rFonts w:hint="eastAsia" w:hAnsi="宋体"/>
          <w:color w:val="auto"/>
          <w:szCs w:val="21"/>
        </w:rPr>
        <w:t>项目</w:t>
      </w:r>
      <w:r>
        <w:rPr>
          <w:rFonts w:hint="eastAsia" w:hAnsi="宋体"/>
          <w:color w:val="auto"/>
          <w:szCs w:val="21"/>
          <w:lang w:eastAsia="zh-CN"/>
        </w:rPr>
        <w:t>服务</w:t>
      </w:r>
      <w:r>
        <w:rPr>
          <w:rFonts w:hint="eastAsia" w:hAnsi="宋体"/>
          <w:color w:val="auto"/>
          <w:szCs w:val="21"/>
        </w:rPr>
        <w:t>方案</w:t>
      </w:r>
      <w:r>
        <w:rPr>
          <w:rFonts w:hint="eastAsia" w:hAnsi="宋体"/>
          <w:color w:val="auto"/>
          <w:szCs w:val="21"/>
          <w:lang w:eastAsia="zh-CN"/>
        </w:rPr>
        <w:t>，</w:t>
      </w:r>
      <w:r>
        <w:rPr>
          <w:rFonts w:hint="eastAsia" w:hAnsi="宋体"/>
          <w:color w:val="auto"/>
          <w:szCs w:val="21"/>
        </w:rPr>
        <w:t>提供完整的</w:t>
      </w:r>
      <w:r>
        <w:rPr>
          <w:rFonts w:hint="eastAsia" w:hAnsi="宋体"/>
          <w:color w:val="auto"/>
          <w:szCs w:val="21"/>
          <w:lang w:eastAsia="zh-CN"/>
        </w:rPr>
        <w:t>服务实施</w:t>
      </w:r>
      <w:r>
        <w:rPr>
          <w:rFonts w:hint="eastAsia" w:hAnsi="宋体"/>
          <w:color w:val="auto"/>
          <w:szCs w:val="21"/>
        </w:rPr>
        <w:t>方案</w:t>
      </w:r>
      <w:r>
        <w:rPr>
          <w:rFonts w:hint="eastAsia" w:hAnsi="宋体"/>
          <w:color w:val="auto"/>
          <w:szCs w:val="21"/>
          <w:lang w:eastAsia="zh-CN"/>
        </w:rPr>
        <w:t>；</w:t>
      </w:r>
    </w:p>
    <w:p>
      <w:pPr>
        <w:pStyle w:val="15"/>
        <w:numPr>
          <w:ilvl w:val="0"/>
          <w:numId w:val="20"/>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5"/>
        <w:spacing w:line="360" w:lineRule="auto"/>
        <w:ind w:firstLine="403" w:firstLineChars="192"/>
        <w:rPr>
          <w:rFonts w:hint="eastAsia" w:hAnsi="宋体" w:eastAsia="宋体"/>
          <w:color w:val="auto"/>
          <w:szCs w:val="21"/>
          <w:lang w:val="en-US" w:eastAsia="zh-CN"/>
        </w:rPr>
      </w:pPr>
      <w:r>
        <w:rPr>
          <w:rFonts w:hint="eastAsia" w:hAnsi="宋体"/>
          <w:color w:val="auto"/>
          <w:szCs w:val="21"/>
          <w:lang w:val="en-US" w:eastAsia="zh-CN"/>
        </w:rPr>
        <w:t>3.</w:t>
      </w: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5"/>
        <w:spacing w:line="360" w:lineRule="auto"/>
        <w:ind w:firstLine="403" w:firstLineChars="192"/>
        <w:rPr>
          <w:rFonts w:hAnsi="宋体"/>
          <w:color w:val="auto"/>
          <w:szCs w:val="21"/>
        </w:rPr>
      </w:pPr>
    </w:p>
    <w:p>
      <w:pPr>
        <w:pStyle w:val="15"/>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56"/>
    <w:bookmarkEnd w:id="57"/>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27"/>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姓名</w:t>
            </w:r>
          </w:p>
        </w:tc>
        <w:tc>
          <w:tcPr>
            <w:tcW w:w="177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07"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性别</w:t>
            </w:r>
          </w:p>
        </w:tc>
        <w:tc>
          <w:tcPr>
            <w:tcW w:w="1658"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685"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年龄</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职务</w:t>
            </w:r>
          </w:p>
        </w:tc>
        <w:tc>
          <w:tcPr>
            <w:tcW w:w="177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07"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职称</w:t>
            </w:r>
          </w:p>
        </w:tc>
        <w:tc>
          <w:tcPr>
            <w:tcW w:w="1658"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685"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学历</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参加工作时间</w:t>
            </w:r>
          </w:p>
        </w:tc>
        <w:tc>
          <w:tcPr>
            <w:tcW w:w="2845" w:type="dxa"/>
            <w:gridSpan w:val="4"/>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68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从事项目经理年限</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具有认证资质</w:t>
            </w:r>
          </w:p>
        </w:tc>
        <w:tc>
          <w:tcPr>
            <w:tcW w:w="6877" w:type="dxa"/>
            <w:gridSpan w:val="8"/>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服务单位</w:t>
            </w: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项目名称</w:t>
            </w: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服务内容</w:t>
            </w: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完成日期</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27"/>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序号</w:t>
            </w:r>
          </w:p>
        </w:tc>
        <w:tc>
          <w:tcPr>
            <w:tcW w:w="1673"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姓名</w:t>
            </w:r>
          </w:p>
        </w:tc>
        <w:tc>
          <w:tcPr>
            <w:tcW w:w="1260"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部门</w:t>
            </w:r>
          </w:p>
        </w:tc>
        <w:tc>
          <w:tcPr>
            <w:tcW w:w="1470"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职务</w:t>
            </w:r>
          </w:p>
        </w:tc>
        <w:tc>
          <w:tcPr>
            <w:tcW w:w="1365"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本项目岗位及职责</w:t>
            </w:r>
          </w:p>
        </w:tc>
        <w:tc>
          <w:tcPr>
            <w:tcW w:w="2302"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2</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3</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bl>
    <w:p>
      <w:pPr>
        <w:spacing w:line="480" w:lineRule="exact"/>
        <w:ind w:left="930" w:hanging="930" w:hangingChars="441"/>
        <w:rPr>
          <w:rFonts w:hint="eastAsia" w:hAnsi="宋体" w:eastAsia="宋体"/>
          <w:color w:val="auto"/>
          <w:szCs w:val="21"/>
          <w:lang w:eastAsia="zh-CN"/>
        </w:rPr>
      </w:pPr>
      <w:r>
        <w:rPr>
          <w:rFonts w:hint="eastAsia" w:hAnsi="宋体"/>
          <w:b/>
          <w:color w:val="auto"/>
          <w:szCs w:val="21"/>
        </w:rPr>
        <w:t>备注</w:t>
      </w:r>
      <w:r>
        <w:rPr>
          <w:rFonts w:hint="eastAsia" w:hAnsi="宋体"/>
          <w:color w:val="auto"/>
          <w:szCs w:val="21"/>
        </w:rPr>
        <w:t>：提供所有参与本项目人员的技术等级证书等相关资料的复印件</w:t>
      </w:r>
      <w:r>
        <w:rPr>
          <w:rFonts w:hint="eastAsia" w:hAnsi="宋体"/>
          <w:color w:val="auto"/>
          <w:szCs w:val="21"/>
          <w:lang w:eastAsia="zh-CN"/>
        </w:rPr>
        <w:t>。</w:t>
      </w:r>
    </w:p>
    <w:p>
      <w:pPr>
        <w:spacing w:line="480" w:lineRule="exact"/>
        <w:ind w:left="930" w:hanging="930" w:hangingChars="441"/>
        <w:rPr>
          <w:rFonts w:hint="eastAsia" w:ascii="宋体" w:eastAsia="宋体"/>
          <w:color w:val="auto"/>
          <w:szCs w:val="21"/>
          <w:lang w:eastAsia="zh-CN"/>
        </w:rPr>
      </w:pPr>
      <w:r>
        <w:rPr>
          <w:rFonts w:hAnsi="宋体"/>
          <w:b/>
          <w:color w:val="auto"/>
          <w:szCs w:val="21"/>
        </w:rPr>
        <w:t xml:space="preserve">  </w:t>
      </w:r>
      <w:r>
        <w:rPr>
          <w:rFonts w:ascii="宋体" w:hAnsi="宋体"/>
          <w:color w:val="auto"/>
          <w:szCs w:val="21"/>
        </w:rPr>
        <w:t xml:space="preserve">    </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pStyle w:val="15"/>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59"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59"/>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bookmarkStart w:id="60" w:name="_Hlt10567911"/>
      <w:bookmarkEnd w:id="60"/>
    </w:p>
    <w:p>
      <w:pPr>
        <w:pStyle w:val="15"/>
        <w:spacing w:line="20" w:lineRule="exact"/>
        <w:outlineLvl w:val="0"/>
        <w:rPr>
          <w:color w:val="auto"/>
        </w:rPr>
      </w:pPr>
      <w:r>
        <w:rPr>
          <w:color w:val="auto"/>
        </w:rPr>
        <w:br w:type="page"/>
      </w:r>
      <w:bookmarkStart w:id="61" w:name="_Hlt10523642"/>
      <w:bookmarkEnd w:id="61"/>
    </w:p>
    <w:p>
      <w:pPr>
        <w:pStyle w:val="15"/>
        <w:spacing w:line="20" w:lineRule="exact"/>
        <w:outlineLvl w:val="0"/>
        <w:rPr>
          <w:b/>
          <w:color w:val="auto"/>
          <w:sz w:val="44"/>
          <w:szCs w:val="44"/>
        </w:rPr>
      </w:pPr>
    </w:p>
    <w:p>
      <w:pPr>
        <w:pStyle w:val="15"/>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5"/>
        <w:spacing w:line="400" w:lineRule="atLeast"/>
        <w:jc w:val="center"/>
        <w:rPr>
          <w:rFonts w:hint="eastAsia" w:hAnsi="宋体"/>
          <w:b/>
          <w:color w:val="auto"/>
          <w:sz w:val="24"/>
        </w:rPr>
      </w:pPr>
    </w:p>
    <w:p>
      <w:pPr>
        <w:pStyle w:val="15"/>
        <w:spacing w:line="400" w:lineRule="atLeast"/>
        <w:jc w:val="center"/>
        <w:rPr>
          <w:rFonts w:hint="eastAsia" w:hAnsi="宋体"/>
          <w:b/>
          <w:color w:val="auto"/>
          <w:sz w:val="24"/>
        </w:rPr>
      </w:pPr>
    </w:p>
    <w:p>
      <w:pPr>
        <w:pStyle w:val="15"/>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5"/>
        <w:spacing w:line="400" w:lineRule="atLeast"/>
        <w:rPr>
          <w:rFonts w:hint="eastAsia" w:hAnsi="宋体"/>
          <w:b/>
          <w:color w:val="auto"/>
        </w:rPr>
      </w:pPr>
    </w:p>
    <w:p>
      <w:pPr>
        <w:pStyle w:val="15"/>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5"/>
        <w:spacing w:line="400" w:lineRule="atLeast"/>
        <w:rPr>
          <w:rFonts w:hAnsi="宋体"/>
          <w:color w:val="auto"/>
        </w:rPr>
      </w:pPr>
    </w:p>
    <w:p>
      <w:pPr>
        <w:pStyle w:val="15"/>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广东罗定金银湖国家湿地公园科研监测设备采购及在线监测系统集成服务项目</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 xml:space="preserve">采购项目编号：445381-202005-81327002-0002 </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5"/>
        <w:spacing w:line="400" w:lineRule="atLeast"/>
        <w:rPr>
          <w:rFonts w:hAnsi="宋体"/>
          <w:color w:val="auto"/>
        </w:rPr>
      </w:pPr>
      <w:r>
        <w:rPr>
          <w:rFonts w:hAnsi="宋体"/>
          <w:color w:val="auto"/>
        </w:rPr>
        <w:t xml:space="preserve">    </w:t>
      </w:r>
      <w:r>
        <w:rPr>
          <w:rFonts w:hint="eastAsia" w:hAnsi="宋体"/>
          <w:color w:val="auto"/>
        </w:rPr>
        <w:t>特此声明。</w:t>
      </w: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5"/>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授权代表（</w:t>
      </w:r>
      <w:r>
        <w:rPr>
          <w:rFonts w:hint="eastAsia" w:hAnsi="宋体"/>
          <w:color w:val="auto"/>
          <w:lang w:eastAsia="zh-CN"/>
        </w:rPr>
        <w:t>签章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5"/>
        <w:spacing w:line="20" w:lineRule="exact"/>
        <w:rPr>
          <w:color w:val="auto"/>
          <w:sz w:val="36"/>
        </w:rPr>
      </w:pPr>
    </w:p>
    <w:p>
      <w:pPr>
        <w:spacing w:line="480" w:lineRule="exact"/>
        <w:rPr>
          <w:rFonts w:ascii="宋体"/>
          <w:color w:val="auto"/>
        </w:rPr>
      </w:pPr>
      <w:bookmarkStart w:id="62" w:name="_Hlt10524018"/>
      <w:bookmarkEnd w:id="62"/>
      <w:bookmarkStart w:id="63" w:name="_Hlt10529670"/>
      <w:bookmarkEnd w:id="63"/>
      <w:bookmarkStart w:id="64" w:name="_Hlt10524029"/>
      <w:bookmarkEnd w:id="64"/>
      <w:bookmarkStart w:id="65" w:name="_Hlt10462525"/>
      <w:bookmarkEnd w:id="65"/>
      <w:bookmarkStart w:id="66" w:name="_Hlt10524010"/>
      <w:bookmarkEnd w:id="66"/>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tabs>
        <w:tab w:val="left" w:pos="1455"/>
        <w:tab w:val="clear" w:pos="4153"/>
      </w:tabs>
      <w:rPr>
        <w:rFonts w:hint="eastAsia" w:ascii="宋体" w:eastAsia="宋体"/>
        <w:sz w:val="20"/>
        <w:szCs w:val="20"/>
        <w:lang w:eastAsia="zh-CN"/>
      </w:rPr>
    </w:pPr>
    <w:r>
      <w:rPr>
        <w:sz w:val="20"/>
        <w:szCs w:val="16"/>
      </w:rPr>
      <w:pict>
        <v:shape id="_x0000_s4108" o:spid="_x0000_s410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hint="eastAsia" w:ascii="宋体" w:eastAsia="宋体"/>
        <w:lang w:val="en-US" w:eastAsia="zh-CN"/>
      </w:rPr>
    </w:pPr>
    <w:r>
      <w:rPr>
        <w:sz w:val="18"/>
      </w:rPr>
      <w:pict>
        <v:shape id="_x0000_s4109" o:spid="_x0000_s410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rFonts w:hint="eastAsia"/>
        <w:lang w:eastAsia="zh-CN"/>
      </w:rPr>
      <w:t>广东盈信招标代理有限公司</w:t>
    </w:r>
    <w:r>
      <w:rPr>
        <w:sz w:val="18"/>
      </w:rPr>
      <w:pict>
        <v:shape id="_x0000_s4110" o:spid="_x0000_s411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w:pict>
        <v:shape id="_x0000_s4112" o:spid="_x0000_s4112"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cs="Times New Roman"/>
        <w:sz w:val="18"/>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w:pict>
        <v:shape id="_x0000_s4114" o:spid="_x0000_s4114"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ascii="宋体"/>
        <w:lang w:eastAsia="zh-CN"/>
      </w:rPr>
      <w:t>广东盈信招标代理有限公司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w:pict>
        <v:shape id="_x0000_s4115" o:spid="_x0000_s4115"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ascii="宋体"/>
        <w:lang w:eastAsia="zh-CN"/>
      </w:rPr>
      <w:t>广东盈信招标代理有限公司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sz w:val="18"/>
      </w:rPr>
      <w:pict>
        <v:shape id="_x0000_s4116" o:spid="_x0000_s4116"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lang w:val="en-US" w:eastAsia="zh-CN"/>
      </w:rPr>
    </w:pPr>
    <w:r>
      <w:rPr>
        <w:rFonts w:hint="eastAsia" w:ascii="宋体" w:hAnsi="宋体" w:cs="Tahoma"/>
        <w:kern w:val="28"/>
        <w:lang w:eastAsia="zh-CN"/>
      </w:rPr>
      <w:t>广东罗定金银湖国家湿地公园科研监测设备采购及在线监测系统集成服务项目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p>
  <w:p>
    <w:pPr>
      <w:pStyle w:val="20"/>
      <w:jc w:val="left"/>
      <w:rPr>
        <w:rFonts w:hint="eastAsia" w:ascii="宋体" w:hAnsi="宋体" w:eastAsia="宋体"/>
        <w:lang w:eastAsia="zh-CN"/>
      </w:rPr>
    </w:pPr>
    <w:r>
      <w:rPr>
        <w:rFonts w:hint="eastAsia" w:ascii="宋体" w:hAnsi="宋体"/>
        <w:lang w:eastAsia="zh-CN"/>
      </w:rPr>
      <w:t xml:space="preserve">采购项目编号：445381-202005-81327002-0002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广东罗定金银湖国家湿地公园科研监测设备采购及在线监测系统集成服务项目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采购项目编号：445381-202005-81327002-0002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eastAsia="宋体"/>
        <w:lang w:eastAsia="zh-CN"/>
      </w:rPr>
    </w:pPr>
    <w:r>
      <w:rPr>
        <w:rFonts w:hint="eastAsia" w:ascii="宋体" w:hAnsi="宋体" w:cs="Tahoma"/>
        <w:kern w:val="28"/>
        <w:lang w:eastAsia="zh-CN"/>
      </w:rPr>
      <w:t>广东罗定金银湖国家湿地公园科研监测设备采购及在线监测系统集成服务项目</w:t>
    </w:r>
    <w:r>
      <w:rPr>
        <w:rFonts w:hint="eastAsia" w:ascii="宋体" w:hAnsi="宋体"/>
        <w:lang w:val="en-US" w:eastAsia="zh-CN"/>
      </w:rPr>
      <w:t xml:space="preserve">                          </w:t>
    </w:r>
    <w:r>
      <w:rPr>
        <w:rFonts w:hint="eastAsia" w:ascii="宋体" w:hAnsi="宋体"/>
        <w:lang w:eastAsia="zh-CN"/>
      </w:rPr>
      <w:t xml:space="preserve">采购项目编号：445381-202005-81327002-0002 </w:t>
    </w:r>
    <w:r>
      <w:rPr>
        <w:rFonts w:hint="eastAsia" w:ascii="宋体" w:hAnsi="宋体"/>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eastAsia="宋体"/>
        <w:lang w:eastAsia="zh-CN"/>
      </w:rPr>
    </w:pPr>
    <w:r>
      <w:rPr>
        <w:rFonts w:hint="eastAsia" w:ascii="Tahoma" w:hAnsi="Tahoma" w:cs="Tahoma"/>
        <w:lang w:eastAsia="zh-CN"/>
      </w:rPr>
      <w:t>广东罗定金银湖国家湿地公园科研监测设备采购及在线监测系统集成服务项目</w:t>
    </w:r>
    <w:r>
      <w:rPr>
        <w:rFonts w:hint="eastAsia" w:ascii="Tahoma" w:hAnsi="Tahoma" w:cs="Tahoma"/>
        <w:lang w:val="en-US" w:eastAsia="zh-CN"/>
      </w:rPr>
      <w:t xml:space="preserve">      </w:t>
    </w:r>
    <w:r>
      <w:rPr>
        <w:rFonts w:hint="eastAsia" w:ascii="宋体" w:hAnsi="宋体"/>
        <w:sz w:val="21"/>
        <w:szCs w:val="21"/>
        <w:lang w:val="en-US" w:eastAsia="zh-CN"/>
      </w:rPr>
      <w:t xml:space="preserve">                             </w:t>
    </w:r>
    <w:r>
      <w:rPr>
        <w:rFonts w:hint="eastAsia" w:ascii="宋体" w:hAnsi="宋体"/>
        <w:lang w:eastAsia="zh-CN"/>
      </w:rPr>
      <w:t xml:space="preserve">采购项目编号：445381-202005-81327002-0002 </w:t>
    </w:r>
    <w:r>
      <w:rPr>
        <w:rFonts w:hint="eastAsia" w:ascii="宋体" w:hAnsi="宋体"/>
        <w:sz w:val="21"/>
        <w:szCs w:val="21"/>
        <w:lang w:val="en-US" w:eastAsia="zh-CN"/>
      </w:rPr>
      <w:t xml:space="preserve">      </w:t>
    </w:r>
    <w:r>
      <w:rPr>
        <w:rFonts w:ascii="宋体" w:hAnsi="宋体"/>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Tahoma" w:hAnsi="Tahoma" w:cs="Tahoma"/>
        <w:lang w:eastAsia="zh-CN"/>
      </w:rPr>
      <w:t>广东罗定金银湖国家湿地公园科研监测设备采购及在线监测系统集成服务项目</w:t>
    </w:r>
    <w:r>
      <w:rPr>
        <w:rFonts w:hint="eastAsia" w:ascii="Tahoma" w:hAnsi="Tahoma" w:cs="Tahoma"/>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采购项目编号：445381-202005-81327002-0002 </w:t>
    </w:r>
    <w:r>
      <w:rPr>
        <w:rFonts w:hint="eastAsia" w:ascii="宋体" w:hAnsi="宋体"/>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广东罗定金银湖国家湿地公园科研监测设备采购及在线监测系统集成服务项目</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采购项目编号：445381-202005-81327002-0002 </w:t>
    </w:r>
    <w:r>
      <w:rPr>
        <w:rFonts w:hint="eastAsia" w:ascii="宋体" w:hAnsi="宋体"/>
        <w:lang w:val="en-US" w:eastAsia="zh-CN"/>
      </w:rPr>
      <w:t xml:space="preserve">                                  </w:t>
    </w: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4836E"/>
    <w:multiLevelType w:val="multilevel"/>
    <w:tmpl w:val="80E4836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53EF49E"/>
    <w:multiLevelType w:val="singleLevel"/>
    <w:tmpl w:val="953EF49E"/>
    <w:lvl w:ilvl="0" w:tentative="0">
      <w:start w:val="2"/>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4FFE10B"/>
    <w:multiLevelType w:val="multilevel"/>
    <w:tmpl w:val="14FFE10B"/>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ascii="宋体" w:hAnsi="宋体" w:eastAsia="宋体" w:cs="宋体"/>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ascii="宋体" w:hAnsi="宋体" w:eastAsia="宋体" w:cs="宋体"/>
      </w:rPr>
    </w:lvl>
    <w:lvl w:ilvl="6" w:tentative="0">
      <w:start w:val="1"/>
      <w:numFmt w:val="decimal"/>
      <w:lvlText w:val="%1.%2.%3.%4.%5.%6.%7."/>
      <w:lvlJc w:val="left"/>
      <w:pPr>
        <w:ind w:left="1296" w:hanging="1296"/>
      </w:pPr>
      <w:rPr>
        <w:rFonts w:hint="eastAsia" w:ascii="宋体" w:hAnsi="宋体" w:eastAsia="宋体" w:cs="宋体"/>
      </w:rPr>
    </w:lvl>
    <w:lvl w:ilvl="7" w:tentative="0">
      <w:start w:val="1"/>
      <w:numFmt w:val="decimal"/>
      <w:lvlText w:val="%1.%2.%3.%4.%5.%6.%7.%8."/>
      <w:lvlJc w:val="left"/>
      <w:pPr>
        <w:ind w:left="1440" w:hanging="1440"/>
      </w:pPr>
      <w:rPr>
        <w:rFonts w:hint="eastAsia" w:ascii="宋体" w:hAnsi="宋体" w:eastAsia="宋体" w:cs="宋体"/>
      </w:rPr>
    </w:lvl>
    <w:lvl w:ilvl="8" w:tentative="0">
      <w:start w:val="1"/>
      <w:numFmt w:val="decimal"/>
      <w:lvlText w:val="%1.%2.%3.%4.%5.%6.%7.%8.%9."/>
      <w:lvlJc w:val="left"/>
      <w:pPr>
        <w:ind w:left="1583" w:hanging="1583"/>
      </w:pPr>
      <w:rPr>
        <w:rFonts w:hint="eastAsia" w:ascii="宋体" w:hAnsi="宋体" w:eastAsia="宋体" w:cs="宋体"/>
      </w:rPr>
    </w:lvl>
  </w:abstractNum>
  <w:abstractNum w:abstractNumId="4">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5">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53AE768"/>
    <w:multiLevelType w:val="singleLevel"/>
    <w:tmpl w:val="253AE768"/>
    <w:lvl w:ilvl="0" w:tentative="0">
      <w:start w:val="1"/>
      <w:numFmt w:val="decimal"/>
      <w:lvlText w:val="%1."/>
      <w:lvlJc w:val="left"/>
      <w:pPr>
        <w:tabs>
          <w:tab w:val="left" w:pos="312"/>
        </w:tabs>
      </w:pPr>
    </w:lvl>
  </w:abstractNum>
  <w:abstractNum w:abstractNumId="9">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0">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11">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A24442D"/>
    <w:multiLevelType w:val="multilevel"/>
    <w:tmpl w:val="3A24442D"/>
    <w:lvl w:ilvl="0" w:tentative="0">
      <w:start w:val="2"/>
      <w:numFmt w:val="decimal"/>
      <w:pStyle w:val="4"/>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3">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C234AB0"/>
    <w:multiLevelType w:val="singleLevel"/>
    <w:tmpl w:val="5C234AB0"/>
    <w:lvl w:ilvl="0" w:tentative="0">
      <w:start w:val="1"/>
      <w:numFmt w:val="decimal"/>
      <w:lvlText w:val="%1."/>
      <w:lvlJc w:val="left"/>
      <w:pPr>
        <w:tabs>
          <w:tab w:val="left" w:pos="312"/>
        </w:tabs>
      </w:pPr>
    </w:lvl>
  </w:abstractNum>
  <w:abstractNum w:abstractNumId="16">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7">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70922513"/>
    <w:multiLevelType w:val="singleLevel"/>
    <w:tmpl w:val="70922513"/>
    <w:lvl w:ilvl="0" w:tentative="0">
      <w:start w:val="1"/>
      <w:numFmt w:val="decimal"/>
      <w:lvlText w:val="%1."/>
      <w:lvlJc w:val="left"/>
      <w:pPr>
        <w:tabs>
          <w:tab w:val="left" w:pos="312"/>
        </w:tabs>
      </w:pPr>
    </w:lvl>
  </w:abstractNum>
  <w:abstractNum w:abstractNumId="19">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2"/>
  </w:num>
  <w:num w:numId="2">
    <w:abstractNumId w:val="4"/>
  </w:num>
  <w:num w:numId="3">
    <w:abstractNumId w:val="16"/>
  </w:num>
  <w:num w:numId="4">
    <w:abstractNumId w:val="9"/>
  </w:num>
  <w:num w:numId="5">
    <w:abstractNumId w:val="10"/>
  </w:num>
  <w:num w:numId="6">
    <w:abstractNumId w:val="14"/>
  </w:num>
  <w:num w:numId="7">
    <w:abstractNumId w:val="19"/>
  </w:num>
  <w:num w:numId="8">
    <w:abstractNumId w:val="7"/>
  </w:num>
  <w:num w:numId="9">
    <w:abstractNumId w:val="6"/>
  </w:num>
  <w:num w:numId="10">
    <w:abstractNumId w:val="5"/>
  </w:num>
  <w:num w:numId="11">
    <w:abstractNumId w:val="17"/>
  </w:num>
  <w:num w:numId="12">
    <w:abstractNumId w:val="13"/>
  </w:num>
  <w:num w:numId="13">
    <w:abstractNumId w:val="11"/>
  </w:num>
  <w:num w:numId="14">
    <w:abstractNumId w:val="18"/>
  </w:num>
  <w:num w:numId="15">
    <w:abstractNumId w:val="8"/>
  </w:num>
  <w:num w:numId="16">
    <w:abstractNumId w:val="1"/>
  </w:num>
  <w:num w:numId="17">
    <w:abstractNumId w:val="3"/>
  </w:num>
  <w:num w:numId="18">
    <w:abstractNumId w:val="0"/>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43B"/>
    <w:rsid w:val="005C6E35"/>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22A9"/>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8B3EDC"/>
    <w:rsid w:val="02B26ADE"/>
    <w:rsid w:val="031B422C"/>
    <w:rsid w:val="031C6BF6"/>
    <w:rsid w:val="03627E67"/>
    <w:rsid w:val="036B6473"/>
    <w:rsid w:val="03866869"/>
    <w:rsid w:val="038C7BC5"/>
    <w:rsid w:val="03CD4D6B"/>
    <w:rsid w:val="03DD112C"/>
    <w:rsid w:val="0404712B"/>
    <w:rsid w:val="0417338A"/>
    <w:rsid w:val="043645E4"/>
    <w:rsid w:val="048E5415"/>
    <w:rsid w:val="04E108E2"/>
    <w:rsid w:val="052911C7"/>
    <w:rsid w:val="0555612F"/>
    <w:rsid w:val="056C0C27"/>
    <w:rsid w:val="05784BEB"/>
    <w:rsid w:val="05821E7E"/>
    <w:rsid w:val="058D23D0"/>
    <w:rsid w:val="05FA2518"/>
    <w:rsid w:val="06163EE9"/>
    <w:rsid w:val="06396B90"/>
    <w:rsid w:val="06E43E6D"/>
    <w:rsid w:val="073143FB"/>
    <w:rsid w:val="07337CC2"/>
    <w:rsid w:val="07CC63DA"/>
    <w:rsid w:val="07E53700"/>
    <w:rsid w:val="081A7378"/>
    <w:rsid w:val="08471D7F"/>
    <w:rsid w:val="085B5AF0"/>
    <w:rsid w:val="08662291"/>
    <w:rsid w:val="08A20FFF"/>
    <w:rsid w:val="08AD792E"/>
    <w:rsid w:val="08F279E2"/>
    <w:rsid w:val="091921E5"/>
    <w:rsid w:val="098142A9"/>
    <w:rsid w:val="09DE4B40"/>
    <w:rsid w:val="09F2600C"/>
    <w:rsid w:val="0A1E6E9F"/>
    <w:rsid w:val="0AC54E9D"/>
    <w:rsid w:val="0ACA3F51"/>
    <w:rsid w:val="0AD54BDA"/>
    <w:rsid w:val="0AFB6CAC"/>
    <w:rsid w:val="0B044218"/>
    <w:rsid w:val="0B132B97"/>
    <w:rsid w:val="0B624030"/>
    <w:rsid w:val="0B6948F1"/>
    <w:rsid w:val="0B6A3D17"/>
    <w:rsid w:val="0B7C46F6"/>
    <w:rsid w:val="0BA43058"/>
    <w:rsid w:val="0BBC275F"/>
    <w:rsid w:val="0BD57609"/>
    <w:rsid w:val="0C1E07F3"/>
    <w:rsid w:val="0C1F7C85"/>
    <w:rsid w:val="0C246F78"/>
    <w:rsid w:val="0C961836"/>
    <w:rsid w:val="0CA127FA"/>
    <w:rsid w:val="0CBF13D0"/>
    <w:rsid w:val="0CE757DF"/>
    <w:rsid w:val="0D066457"/>
    <w:rsid w:val="0D776FCF"/>
    <w:rsid w:val="0D92714F"/>
    <w:rsid w:val="0DFD4814"/>
    <w:rsid w:val="0E715DDC"/>
    <w:rsid w:val="0E993A07"/>
    <w:rsid w:val="0EF54881"/>
    <w:rsid w:val="0EFE57B9"/>
    <w:rsid w:val="0F0A7732"/>
    <w:rsid w:val="0F685258"/>
    <w:rsid w:val="0F6C4701"/>
    <w:rsid w:val="0F6E5BBE"/>
    <w:rsid w:val="0F8B0053"/>
    <w:rsid w:val="0F900189"/>
    <w:rsid w:val="0FBE6EF9"/>
    <w:rsid w:val="0FE12F77"/>
    <w:rsid w:val="0FE23162"/>
    <w:rsid w:val="0FEB4CD3"/>
    <w:rsid w:val="100C1DE2"/>
    <w:rsid w:val="104F6C04"/>
    <w:rsid w:val="105135A5"/>
    <w:rsid w:val="105F6B52"/>
    <w:rsid w:val="1095067C"/>
    <w:rsid w:val="10FF11E0"/>
    <w:rsid w:val="11041698"/>
    <w:rsid w:val="110432D6"/>
    <w:rsid w:val="11055DB8"/>
    <w:rsid w:val="110D72FB"/>
    <w:rsid w:val="112F7F96"/>
    <w:rsid w:val="114804F6"/>
    <w:rsid w:val="11651119"/>
    <w:rsid w:val="11DC6CE4"/>
    <w:rsid w:val="122120C1"/>
    <w:rsid w:val="124A1379"/>
    <w:rsid w:val="12987404"/>
    <w:rsid w:val="13071A9F"/>
    <w:rsid w:val="130D6761"/>
    <w:rsid w:val="13315615"/>
    <w:rsid w:val="1360216B"/>
    <w:rsid w:val="139B7B6F"/>
    <w:rsid w:val="13A60AE0"/>
    <w:rsid w:val="13C9062C"/>
    <w:rsid w:val="13DD2DCA"/>
    <w:rsid w:val="14D36568"/>
    <w:rsid w:val="14FF5942"/>
    <w:rsid w:val="15681F4B"/>
    <w:rsid w:val="15763A1A"/>
    <w:rsid w:val="15797761"/>
    <w:rsid w:val="157C59CB"/>
    <w:rsid w:val="159C5FA1"/>
    <w:rsid w:val="15A823E6"/>
    <w:rsid w:val="15B029A2"/>
    <w:rsid w:val="161D6D8C"/>
    <w:rsid w:val="1621753B"/>
    <w:rsid w:val="16450C97"/>
    <w:rsid w:val="166B719E"/>
    <w:rsid w:val="16B61174"/>
    <w:rsid w:val="17105DE6"/>
    <w:rsid w:val="171B0E56"/>
    <w:rsid w:val="171F7D5A"/>
    <w:rsid w:val="172A77E1"/>
    <w:rsid w:val="17364E5D"/>
    <w:rsid w:val="175A1BDB"/>
    <w:rsid w:val="176C3763"/>
    <w:rsid w:val="178D100E"/>
    <w:rsid w:val="17A772FC"/>
    <w:rsid w:val="17A9055F"/>
    <w:rsid w:val="17BA55CA"/>
    <w:rsid w:val="17E07F69"/>
    <w:rsid w:val="18067AA9"/>
    <w:rsid w:val="181A5BAE"/>
    <w:rsid w:val="183B44F5"/>
    <w:rsid w:val="183C6BFE"/>
    <w:rsid w:val="18971DC2"/>
    <w:rsid w:val="18B704AD"/>
    <w:rsid w:val="190527FE"/>
    <w:rsid w:val="19AC22AE"/>
    <w:rsid w:val="1A2E71B1"/>
    <w:rsid w:val="1A4736EB"/>
    <w:rsid w:val="1AC30890"/>
    <w:rsid w:val="1AE254EA"/>
    <w:rsid w:val="1B146E2B"/>
    <w:rsid w:val="1B3B5989"/>
    <w:rsid w:val="1B5C0BB4"/>
    <w:rsid w:val="1B825255"/>
    <w:rsid w:val="1B8B60EF"/>
    <w:rsid w:val="1BA96D6F"/>
    <w:rsid w:val="1BBF4B85"/>
    <w:rsid w:val="1C86355A"/>
    <w:rsid w:val="1C8F2306"/>
    <w:rsid w:val="1CF458F1"/>
    <w:rsid w:val="1D1259E5"/>
    <w:rsid w:val="1D1C177C"/>
    <w:rsid w:val="1D2D47BA"/>
    <w:rsid w:val="1D4C41D3"/>
    <w:rsid w:val="1D6A39B8"/>
    <w:rsid w:val="1D7238A8"/>
    <w:rsid w:val="1DA26A04"/>
    <w:rsid w:val="1DE94707"/>
    <w:rsid w:val="1E2665E5"/>
    <w:rsid w:val="1E32703C"/>
    <w:rsid w:val="1E6814BB"/>
    <w:rsid w:val="1E6B4B47"/>
    <w:rsid w:val="1F2C4194"/>
    <w:rsid w:val="1F7E5188"/>
    <w:rsid w:val="1FB73F48"/>
    <w:rsid w:val="1FBD5DD1"/>
    <w:rsid w:val="1FEE30DD"/>
    <w:rsid w:val="1FF24262"/>
    <w:rsid w:val="1FFD7051"/>
    <w:rsid w:val="200A62DA"/>
    <w:rsid w:val="20482D4E"/>
    <w:rsid w:val="2061569C"/>
    <w:rsid w:val="214E5F70"/>
    <w:rsid w:val="21BA29BC"/>
    <w:rsid w:val="21D218CB"/>
    <w:rsid w:val="21DD349D"/>
    <w:rsid w:val="21F805E3"/>
    <w:rsid w:val="2210611E"/>
    <w:rsid w:val="221E2B6E"/>
    <w:rsid w:val="22803FAB"/>
    <w:rsid w:val="229C0237"/>
    <w:rsid w:val="22B86AA7"/>
    <w:rsid w:val="22BB4045"/>
    <w:rsid w:val="22D1394D"/>
    <w:rsid w:val="22DC6BE7"/>
    <w:rsid w:val="23026019"/>
    <w:rsid w:val="2305108D"/>
    <w:rsid w:val="230C7B49"/>
    <w:rsid w:val="230D4016"/>
    <w:rsid w:val="23171BD6"/>
    <w:rsid w:val="23737D0D"/>
    <w:rsid w:val="23B66F17"/>
    <w:rsid w:val="23DD14F9"/>
    <w:rsid w:val="24087F43"/>
    <w:rsid w:val="241B5F4A"/>
    <w:rsid w:val="24217D31"/>
    <w:rsid w:val="2430791D"/>
    <w:rsid w:val="243A0254"/>
    <w:rsid w:val="247910F0"/>
    <w:rsid w:val="248020CF"/>
    <w:rsid w:val="24816E55"/>
    <w:rsid w:val="24D6667D"/>
    <w:rsid w:val="24E91E1B"/>
    <w:rsid w:val="24F66ECB"/>
    <w:rsid w:val="2547624B"/>
    <w:rsid w:val="25846F90"/>
    <w:rsid w:val="25B063C8"/>
    <w:rsid w:val="25EB70F0"/>
    <w:rsid w:val="260905C7"/>
    <w:rsid w:val="26455201"/>
    <w:rsid w:val="2692289B"/>
    <w:rsid w:val="26BA03C8"/>
    <w:rsid w:val="26C87927"/>
    <w:rsid w:val="27211512"/>
    <w:rsid w:val="27871C7F"/>
    <w:rsid w:val="27D86183"/>
    <w:rsid w:val="27DA6364"/>
    <w:rsid w:val="27FA2221"/>
    <w:rsid w:val="28323AAE"/>
    <w:rsid w:val="28454EB3"/>
    <w:rsid w:val="2855466C"/>
    <w:rsid w:val="285751A8"/>
    <w:rsid w:val="28581DCD"/>
    <w:rsid w:val="28FE6A4D"/>
    <w:rsid w:val="29196D4D"/>
    <w:rsid w:val="29A42BF5"/>
    <w:rsid w:val="2A03708F"/>
    <w:rsid w:val="2A166945"/>
    <w:rsid w:val="2A1A4034"/>
    <w:rsid w:val="2A1D6EA4"/>
    <w:rsid w:val="2A97519C"/>
    <w:rsid w:val="2AA04F10"/>
    <w:rsid w:val="2ACC202A"/>
    <w:rsid w:val="2AE36C8E"/>
    <w:rsid w:val="2B0C57D5"/>
    <w:rsid w:val="2B106E2A"/>
    <w:rsid w:val="2B487BF7"/>
    <w:rsid w:val="2BB82262"/>
    <w:rsid w:val="2C413AA7"/>
    <w:rsid w:val="2C4D5253"/>
    <w:rsid w:val="2C6F63F4"/>
    <w:rsid w:val="2C99099A"/>
    <w:rsid w:val="2CB947D7"/>
    <w:rsid w:val="2CB97158"/>
    <w:rsid w:val="2CF57F33"/>
    <w:rsid w:val="2D3A4BC3"/>
    <w:rsid w:val="2D9144DC"/>
    <w:rsid w:val="2DA27849"/>
    <w:rsid w:val="2DA7128F"/>
    <w:rsid w:val="2DD20E63"/>
    <w:rsid w:val="2DD850F2"/>
    <w:rsid w:val="2DDB6B66"/>
    <w:rsid w:val="2DF747E5"/>
    <w:rsid w:val="2EAA1E42"/>
    <w:rsid w:val="2F503AF9"/>
    <w:rsid w:val="2F7B5CA8"/>
    <w:rsid w:val="2F8945C2"/>
    <w:rsid w:val="2F8A50C1"/>
    <w:rsid w:val="2F98221C"/>
    <w:rsid w:val="2FCC1679"/>
    <w:rsid w:val="2FFF4E45"/>
    <w:rsid w:val="300655E7"/>
    <w:rsid w:val="30086FF0"/>
    <w:rsid w:val="300F4DAE"/>
    <w:rsid w:val="305925E1"/>
    <w:rsid w:val="3099237A"/>
    <w:rsid w:val="30B62F82"/>
    <w:rsid w:val="30CB06DF"/>
    <w:rsid w:val="311B481E"/>
    <w:rsid w:val="31220029"/>
    <w:rsid w:val="31230AA3"/>
    <w:rsid w:val="313525F8"/>
    <w:rsid w:val="314B756C"/>
    <w:rsid w:val="315241B7"/>
    <w:rsid w:val="31787BF4"/>
    <w:rsid w:val="31DC33F5"/>
    <w:rsid w:val="31E3553C"/>
    <w:rsid w:val="325E3139"/>
    <w:rsid w:val="328A7C81"/>
    <w:rsid w:val="32D15DEA"/>
    <w:rsid w:val="32F41158"/>
    <w:rsid w:val="33113E12"/>
    <w:rsid w:val="332C5642"/>
    <w:rsid w:val="332C65C4"/>
    <w:rsid w:val="336B2834"/>
    <w:rsid w:val="33CF7591"/>
    <w:rsid w:val="33DC61E7"/>
    <w:rsid w:val="34140171"/>
    <w:rsid w:val="341C4444"/>
    <w:rsid w:val="349F0D63"/>
    <w:rsid w:val="34C13CB9"/>
    <w:rsid w:val="34C8267C"/>
    <w:rsid w:val="34CB752E"/>
    <w:rsid w:val="34F00946"/>
    <w:rsid w:val="34F6671F"/>
    <w:rsid w:val="35444E33"/>
    <w:rsid w:val="354650CE"/>
    <w:rsid w:val="35473A17"/>
    <w:rsid w:val="35915A33"/>
    <w:rsid w:val="35B525DC"/>
    <w:rsid w:val="35BD3230"/>
    <w:rsid w:val="35C303C7"/>
    <w:rsid w:val="35CE1C93"/>
    <w:rsid w:val="3675668E"/>
    <w:rsid w:val="36C04AEC"/>
    <w:rsid w:val="36D80657"/>
    <w:rsid w:val="36DE1BD8"/>
    <w:rsid w:val="371B0B34"/>
    <w:rsid w:val="37347C88"/>
    <w:rsid w:val="376E2809"/>
    <w:rsid w:val="37895F29"/>
    <w:rsid w:val="378C7CE0"/>
    <w:rsid w:val="37913764"/>
    <w:rsid w:val="37B171CC"/>
    <w:rsid w:val="37E76C86"/>
    <w:rsid w:val="38AB6D21"/>
    <w:rsid w:val="39022726"/>
    <w:rsid w:val="3921310B"/>
    <w:rsid w:val="396430B4"/>
    <w:rsid w:val="397825BC"/>
    <w:rsid w:val="39833969"/>
    <w:rsid w:val="39AF72A0"/>
    <w:rsid w:val="39F30451"/>
    <w:rsid w:val="3A9A3131"/>
    <w:rsid w:val="3AA13714"/>
    <w:rsid w:val="3AA877DE"/>
    <w:rsid w:val="3ABE77F6"/>
    <w:rsid w:val="3AD4350E"/>
    <w:rsid w:val="3AF76FA1"/>
    <w:rsid w:val="3B2C6C91"/>
    <w:rsid w:val="3B9930A8"/>
    <w:rsid w:val="3BE9242F"/>
    <w:rsid w:val="3BF20323"/>
    <w:rsid w:val="3C235935"/>
    <w:rsid w:val="3C695F34"/>
    <w:rsid w:val="3C71049E"/>
    <w:rsid w:val="3C805FAE"/>
    <w:rsid w:val="3D177D11"/>
    <w:rsid w:val="3D247B44"/>
    <w:rsid w:val="3D5411F5"/>
    <w:rsid w:val="3D5A1015"/>
    <w:rsid w:val="3D5A6E74"/>
    <w:rsid w:val="3D9F20A5"/>
    <w:rsid w:val="3DA14FD8"/>
    <w:rsid w:val="3DA61753"/>
    <w:rsid w:val="3E1C2564"/>
    <w:rsid w:val="3E426526"/>
    <w:rsid w:val="3E9A7C89"/>
    <w:rsid w:val="3ED030B4"/>
    <w:rsid w:val="3ED42873"/>
    <w:rsid w:val="3EF116EF"/>
    <w:rsid w:val="3EF75AF1"/>
    <w:rsid w:val="3F0C1EAD"/>
    <w:rsid w:val="3F354F38"/>
    <w:rsid w:val="3F92514A"/>
    <w:rsid w:val="3F972E98"/>
    <w:rsid w:val="3FB9042D"/>
    <w:rsid w:val="3FBF285B"/>
    <w:rsid w:val="3FD17E41"/>
    <w:rsid w:val="3FFC1870"/>
    <w:rsid w:val="401D51C0"/>
    <w:rsid w:val="401F61B5"/>
    <w:rsid w:val="40E647E3"/>
    <w:rsid w:val="40ED5CD0"/>
    <w:rsid w:val="41193E41"/>
    <w:rsid w:val="41470D92"/>
    <w:rsid w:val="41597CC1"/>
    <w:rsid w:val="41784B4A"/>
    <w:rsid w:val="41A664D0"/>
    <w:rsid w:val="41B13BD3"/>
    <w:rsid w:val="41EF728F"/>
    <w:rsid w:val="42355579"/>
    <w:rsid w:val="42482105"/>
    <w:rsid w:val="424A21A4"/>
    <w:rsid w:val="42522927"/>
    <w:rsid w:val="425D6528"/>
    <w:rsid w:val="42671377"/>
    <w:rsid w:val="430B6E49"/>
    <w:rsid w:val="436368C9"/>
    <w:rsid w:val="43B87560"/>
    <w:rsid w:val="44432C5B"/>
    <w:rsid w:val="44907624"/>
    <w:rsid w:val="44A42FBC"/>
    <w:rsid w:val="44B04615"/>
    <w:rsid w:val="44B429E7"/>
    <w:rsid w:val="455C09C9"/>
    <w:rsid w:val="45B2703F"/>
    <w:rsid w:val="460D0517"/>
    <w:rsid w:val="460E66C6"/>
    <w:rsid w:val="46205A1C"/>
    <w:rsid w:val="4637072C"/>
    <w:rsid w:val="467233BF"/>
    <w:rsid w:val="46D30980"/>
    <w:rsid w:val="47352915"/>
    <w:rsid w:val="4740032D"/>
    <w:rsid w:val="47427C8E"/>
    <w:rsid w:val="474A0A85"/>
    <w:rsid w:val="477F456E"/>
    <w:rsid w:val="479762EE"/>
    <w:rsid w:val="4798237E"/>
    <w:rsid w:val="47F949DF"/>
    <w:rsid w:val="48157B65"/>
    <w:rsid w:val="48577A65"/>
    <w:rsid w:val="48AA4675"/>
    <w:rsid w:val="48D60D33"/>
    <w:rsid w:val="4907051E"/>
    <w:rsid w:val="491D55D9"/>
    <w:rsid w:val="49466EFD"/>
    <w:rsid w:val="4963534D"/>
    <w:rsid w:val="4A33138B"/>
    <w:rsid w:val="4AB76A28"/>
    <w:rsid w:val="4AC9763E"/>
    <w:rsid w:val="4AE07264"/>
    <w:rsid w:val="4AE45CCA"/>
    <w:rsid w:val="4B342EE1"/>
    <w:rsid w:val="4B384CC0"/>
    <w:rsid w:val="4B4E38C2"/>
    <w:rsid w:val="4B632A78"/>
    <w:rsid w:val="4BE95297"/>
    <w:rsid w:val="4C82653D"/>
    <w:rsid w:val="4C867C53"/>
    <w:rsid w:val="4C9F2990"/>
    <w:rsid w:val="4D204955"/>
    <w:rsid w:val="4D2838A9"/>
    <w:rsid w:val="4D920096"/>
    <w:rsid w:val="4D94405B"/>
    <w:rsid w:val="4E1857AC"/>
    <w:rsid w:val="4E26261F"/>
    <w:rsid w:val="4E3006E5"/>
    <w:rsid w:val="4E403C3C"/>
    <w:rsid w:val="4E8805F8"/>
    <w:rsid w:val="4E901F73"/>
    <w:rsid w:val="4EB04E58"/>
    <w:rsid w:val="4EBB20BD"/>
    <w:rsid w:val="4ED8191B"/>
    <w:rsid w:val="4F074C3C"/>
    <w:rsid w:val="4F410CB6"/>
    <w:rsid w:val="4F5A2C1F"/>
    <w:rsid w:val="4FB46852"/>
    <w:rsid w:val="503E062C"/>
    <w:rsid w:val="50987766"/>
    <w:rsid w:val="50D36AC6"/>
    <w:rsid w:val="51112461"/>
    <w:rsid w:val="513959C5"/>
    <w:rsid w:val="514364D8"/>
    <w:rsid w:val="514B137F"/>
    <w:rsid w:val="51791DFD"/>
    <w:rsid w:val="520165FA"/>
    <w:rsid w:val="525C1F81"/>
    <w:rsid w:val="52747481"/>
    <w:rsid w:val="5292324C"/>
    <w:rsid w:val="529309B8"/>
    <w:rsid w:val="529A2F5E"/>
    <w:rsid w:val="531D1179"/>
    <w:rsid w:val="533C7B83"/>
    <w:rsid w:val="53DA28A7"/>
    <w:rsid w:val="53F21991"/>
    <w:rsid w:val="540909EB"/>
    <w:rsid w:val="545203E3"/>
    <w:rsid w:val="54520A94"/>
    <w:rsid w:val="548A63EC"/>
    <w:rsid w:val="54A57642"/>
    <w:rsid w:val="54AB5AED"/>
    <w:rsid w:val="54BB2736"/>
    <w:rsid w:val="552044B5"/>
    <w:rsid w:val="554F676F"/>
    <w:rsid w:val="556E1B11"/>
    <w:rsid w:val="55E42B21"/>
    <w:rsid w:val="56334896"/>
    <w:rsid w:val="563D6730"/>
    <w:rsid w:val="5659756E"/>
    <w:rsid w:val="56730993"/>
    <w:rsid w:val="56B474E3"/>
    <w:rsid w:val="56C54260"/>
    <w:rsid w:val="56D00CD0"/>
    <w:rsid w:val="56F62653"/>
    <w:rsid w:val="5734537F"/>
    <w:rsid w:val="573E7DBA"/>
    <w:rsid w:val="584F4DEB"/>
    <w:rsid w:val="58AD58F4"/>
    <w:rsid w:val="58DC29D3"/>
    <w:rsid w:val="59953DB9"/>
    <w:rsid w:val="59A93CBF"/>
    <w:rsid w:val="5A160B96"/>
    <w:rsid w:val="5A233EB1"/>
    <w:rsid w:val="5A476FBB"/>
    <w:rsid w:val="5A53303E"/>
    <w:rsid w:val="5A6631D8"/>
    <w:rsid w:val="5AA82E6F"/>
    <w:rsid w:val="5B074770"/>
    <w:rsid w:val="5B7D1950"/>
    <w:rsid w:val="5BA83EAD"/>
    <w:rsid w:val="5C1169B9"/>
    <w:rsid w:val="5C133780"/>
    <w:rsid w:val="5C152C9F"/>
    <w:rsid w:val="5C432CB0"/>
    <w:rsid w:val="5C655779"/>
    <w:rsid w:val="5C7A07A6"/>
    <w:rsid w:val="5CA82D41"/>
    <w:rsid w:val="5CDA591D"/>
    <w:rsid w:val="5D9E6DA0"/>
    <w:rsid w:val="5DA04389"/>
    <w:rsid w:val="5DBA2772"/>
    <w:rsid w:val="5DBD752C"/>
    <w:rsid w:val="5DD664E8"/>
    <w:rsid w:val="5E344CEC"/>
    <w:rsid w:val="5E373A11"/>
    <w:rsid w:val="5E377FA2"/>
    <w:rsid w:val="5E6926D0"/>
    <w:rsid w:val="5E8E3B20"/>
    <w:rsid w:val="5E9516BA"/>
    <w:rsid w:val="5ED11038"/>
    <w:rsid w:val="5EFF303D"/>
    <w:rsid w:val="5F1B7608"/>
    <w:rsid w:val="5F2A2D28"/>
    <w:rsid w:val="5F2E6734"/>
    <w:rsid w:val="5F38476E"/>
    <w:rsid w:val="5F7B0AA0"/>
    <w:rsid w:val="5F804092"/>
    <w:rsid w:val="5FB332D0"/>
    <w:rsid w:val="601B3CC5"/>
    <w:rsid w:val="602660AB"/>
    <w:rsid w:val="60484B23"/>
    <w:rsid w:val="60532E8A"/>
    <w:rsid w:val="60891CC0"/>
    <w:rsid w:val="608D2023"/>
    <w:rsid w:val="60A46CB8"/>
    <w:rsid w:val="60F617E1"/>
    <w:rsid w:val="61402FE4"/>
    <w:rsid w:val="615E0D34"/>
    <w:rsid w:val="616621EC"/>
    <w:rsid w:val="616F4AAB"/>
    <w:rsid w:val="617C3486"/>
    <w:rsid w:val="61B451D9"/>
    <w:rsid w:val="623B11BA"/>
    <w:rsid w:val="62417376"/>
    <w:rsid w:val="627945C1"/>
    <w:rsid w:val="62861D7E"/>
    <w:rsid w:val="62DE64EC"/>
    <w:rsid w:val="63600ACF"/>
    <w:rsid w:val="63BC0A3C"/>
    <w:rsid w:val="64331100"/>
    <w:rsid w:val="64AC197F"/>
    <w:rsid w:val="64D40A87"/>
    <w:rsid w:val="64DC248E"/>
    <w:rsid w:val="65285B05"/>
    <w:rsid w:val="654534EB"/>
    <w:rsid w:val="65A04BD9"/>
    <w:rsid w:val="65ED10D6"/>
    <w:rsid w:val="661121FF"/>
    <w:rsid w:val="66A667CE"/>
    <w:rsid w:val="66C057B9"/>
    <w:rsid w:val="6736504A"/>
    <w:rsid w:val="67373383"/>
    <w:rsid w:val="673967DC"/>
    <w:rsid w:val="6780109A"/>
    <w:rsid w:val="67A90F21"/>
    <w:rsid w:val="67ED4339"/>
    <w:rsid w:val="683C52F1"/>
    <w:rsid w:val="684024A0"/>
    <w:rsid w:val="688050F9"/>
    <w:rsid w:val="688B05DF"/>
    <w:rsid w:val="68B82DE9"/>
    <w:rsid w:val="68E40626"/>
    <w:rsid w:val="695733E8"/>
    <w:rsid w:val="69581AD2"/>
    <w:rsid w:val="696D49BA"/>
    <w:rsid w:val="6992655B"/>
    <w:rsid w:val="69E32E0C"/>
    <w:rsid w:val="6A2611E1"/>
    <w:rsid w:val="6A3D4696"/>
    <w:rsid w:val="6A665E99"/>
    <w:rsid w:val="6A9A4D1F"/>
    <w:rsid w:val="6A9F6D99"/>
    <w:rsid w:val="6AA0237F"/>
    <w:rsid w:val="6ABA4EBC"/>
    <w:rsid w:val="6AC049E9"/>
    <w:rsid w:val="6B143ED6"/>
    <w:rsid w:val="6B2F6AFD"/>
    <w:rsid w:val="6B5E160E"/>
    <w:rsid w:val="6B8B392F"/>
    <w:rsid w:val="6BAA13E3"/>
    <w:rsid w:val="6BB15830"/>
    <w:rsid w:val="6BE03B99"/>
    <w:rsid w:val="6BE22796"/>
    <w:rsid w:val="6C10639B"/>
    <w:rsid w:val="6C677E00"/>
    <w:rsid w:val="6CF13463"/>
    <w:rsid w:val="6CFB51A5"/>
    <w:rsid w:val="6D1A4453"/>
    <w:rsid w:val="6D4A7621"/>
    <w:rsid w:val="6D614100"/>
    <w:rsid w:val="6DB46233"/>
    <w:rsid w:val="6DE74F1F"/>
    <w:rsid w:val="6E7708AC"/>
    <w:rsid w:val="6E8922D0"/>
    <w:rsid w:val="6E945C90"/>
    <w:rsid w:val="6EFE33F6"/>
    <w:rsid w:val="6F1919BF"/>
    <w:rsid w:val="6F2B2212"/>
    <w:rsid w:val="6F3C1C12"/>
    <w:rsid w:val="6FC8444E"/>
    <w:rsid w:val="6FCA1F3D"/>
    <w:rsid w:val="6FF4257E"/>
    <w:rsid w:val="70115CED"/>
    <w:rsid w:val="701C014C"/>
    <w:rsid w:val="704F39D4"/>
    <w:rsid w:val="70957FD4"/>
    <w:rsid w:val="70B9427D"/>
    <w:rsid w:val="70C21047"/>
    <w:rsid w:val="70DC36D7"/>
    <w:rsid w:val="70DD263F"/>
    <w:rsid w:val="7103039D"/>
    <w:rsid w:val="7128042B"/>
    <w:rsid w:val="71876F14"/>
    <w:rsid w:val="71A67BCE"/>
    <w:rsid w:val="71C617C1"/>
    <w:rsid w:val="71CA593D"/>
    <w:rsid w:val="71F77214"/>
    <w:rsid w:val="71FB1ECF"/>
    <w:rsid w:val="722A251B"/>
    <w:rsid w:val="723546C0"/>
    <w:rsid w:val="727B3332"/>
    <w:rsid w:val="72BD31E5"/>
    <w:rsid w:val="72DE2EA9"/>
    <w:rsid w:val="73076B04"/>
    <w:rsid w:val="732038EF"/>
    <w:rsid w:val="73242065"/>
    <w:rsid w:val="737347B1"/>
    <w:rsid w:val="73CB4D0A"/>
    <w:rsid w:val="73F21CE7"/>
    <w:rsid w:val="740206F2"/>
    <w:rsid w:val="740B2075"/>
    <w:rsid w:val="743209BA"/>
    <w:rsid w:val="743C27BF"/>
    <w:rsid w:val="746E2F8B"/>
    <w:rsid w:val="7483273D"/>
    <w:rsid w:val="74B32877"/>
    <w:rsid w:val="751273E1"/>
    <w:rsid w:val="751D6573"/>
    <w:rsid w:val="7566410C"/>
    <w:rsid w:val="759A507B"/>
    <w:rsid w:val="75C15011"/>
    <w:rsid w:val="75DC1388"/>
    <w:rsid w:val="76756488"/>
    <w:rsid w:val="76911BD8"/>
    <w:rsid w:val="769456B8"/>
    <w:rsid w:val="76C9130A"/>
    <w:rsid w:val="76F62A14"/>
    <w:rsid w:val="77066B13"/>
    <w:rsid w:val="776467E1"/>
    <w:rsid w:val="776D079C"/>
    <w:rsid w:val="778F4A1B"/>
    <w:rsid w:val="77FE3729"/>
    <w:rsid w:val="78154AAB"/>
    <w:rsid w:val="782A14F3"/>
    <w:rsid w:val="78927D78"/>
    <w:rsid w:val="78E933D4"/>
    <w:rsid w:val="78FE7A6A"/>
    <w:rsid w:val="79490AF8"/>
    <w:rsid w:val="796F1C46"/>
    <w:rsid w:val="79733CA9"/>
    <w:rsid w:val="797C2BF9"/>
    <w:rsid w:val="799C1AC4"/>
    <w:rsid w:val="79A420BF"/>
    <w:rsid w:val="79FC3F51"/>
    <w:rsid w:val="79FC742D"/>
    <w:rsid w:val="7A3A48A2"/>
    <w:rsid w:val="7A8A4FEC"/>
    <w:rsid w:val="7AB2474C"/>
    <w:rsid w:val="7ABF2D23"/>
    <w:rsid w:val="7B0B5FA9"/>
    <w:rsid w:val="7B6047B0"/>
    <w:rsid w:val="7B6F42DB"/>
    <w:rsid w:val="7B761B39"/>
    <w:rsid w:val="7B8F3FD4"/>
    <w:rsid w:val="7BA07602"/>
    <w:rsid w:val="7BA402EF"/>
    <w:rsid w:val="7BA8671F"/>
    <w:rsid w:val="7BD62DEB"/>
    <w:rsid w:val="7C012B17"/>
    <w:rsid w:val="7C1A4530"/>
    <w:rsid w:val="7C630EA1"/>
    <w:rsid w:val="7C9F6959"/>
    <w:rsid w:val="7CB7092B"/>
    <w:rsid w:val="7CC975D0"/>
    <w:rsid w:val="7CEF5999"/>
    <w:rsid w:val="7D214FC6"/>
    <w:rsid w:val="7D6A27F9"/>
    <w:rsid w:val="7D74675F"/>
    <w:rsid w:val="7DC44727"/>
    <w:rsid w:val="7DC46498"/>
    <w:rsid w:val="7DEC7DEC"/>
    <w:rsid w:val="7E1E61D3"/>
    <w:rsid w:val="7E2E7118"/>
    <w:rsid w:val="7E856B1B"/>
    <w:rsid w:val="7EBE547D"/>
    <w:rsid w:val="7ECB6123"/>
    <w:rsid w:val="7EE53C33"/>
    <w:rsid w:val="7EE54CF0"/>
    <w:rsid w:val="7FBC16F3"/>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5">
    <w:name w:val="heading 3"/>
    <w:basedOn w:val="1"/>
    <w:next w:val="1"/>
    <w:link w:val="37"/>
    <w:qFormat/>
    <w:uiPriority w:val="99"/>
    <w:pPr>
      <w:widowControl w:val="0"/>
      <w:spacing w:line="360" w:lineRule="auto"/>
      <w:jc w:val="both"/>
      <w:outlineLvl w:val="2"/>
    </w:pPr>
    <w:rPr>
      <w:rFonts w:ascii="宋体"/>
    </w:rPr>
  </w:style>
  <w:style w:type="paragraph" w:styleId="2">
    <w:name w:val="heading 4"/>
    <w:basedOn w:val="1"/>
    <w:next w:val="1"/>
    <w:link w:val="38"/>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7">
    <w:name w:val="heading 9"/>
    <w:basedOn w:val="1"/>
    <w:next w:val="1"/>
    <w:link w:val="39"/>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29">
    <w:name w:val="Default Paragraph Font"/>
    <w:link w:val="30"/>
    <w:semiHidden/>
    <w:qFormat/>
    <w:uiPriority w:val="99"/>
    <w:rPr>
      <w:rFonts w:ascii="Tahoma" w:hAnsi="Tahoma"/>
      <w:kern w:val="2"/>
      <w:sz w:val="24"/>
    </w:rPr>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link w:val="52"/>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9">
    <w:name w:val="caption"/>
    <w:basedOn w:val="1"/>
    <w:next w:val="1"/>
    <w:qFormat/>
    <w:uiPriority w:val="99"/>
    <w:rPr>
      <w:rFonts w:ascii="Arial" w:hAnsi="Arial" w:eastAsia="黑体" w:cs="Arial"/>
      <w:sz w:val="20"/>
    </w:rPr>
  </w:style>
  <w:style w:type="paragraph" w:styleId="10">
    <w:name w:val="Document Map"/>
    <w:basedOn w:val="1"/>
    <w:link w:val="42"/>
    <w:qFormat/>
    <w:uiPriority w:val="99"/>
    <w:rPr>
      <w:rFonts w:ascii="宋体"/>
      <w:sz w:val="18"/>
      <w:szCs w:val="18"/>
    </w:rPr>
  </w:style>
  <w:style w:type="paragraph" w:styleId="11">
    <w:name w:val="annotation text"/>
    <w:basedOn w:val="1"/>
    <w:link w:val="40"/>
    <w:semiHidden/>
    <w:qFormat/>
    <w:uiPriority w:val="99"/>
  </w:style>
  <w:style w:type="paragraph" w:styleId="12">
    <w:name w:val="Body Text 3"/>
    <w:basedOn w:val="1"/>
    <w:link w:val="43"/>
    <w:qFormat/>
    <w:uiPriority w:val="99"/>
    <w:pPr>
      <w:spacing w:after="120"/>
    </w:pPr>
    <w:rPr>
      <w:sz w:val="16"/>
      <w:szCs w:val="16"/>
    </w:rPr>
  </w:style>
  <w:style w:type="paragraph" w:styleId="13">
    <w:name w:val="Body Text"/>
    <w:basedOn w:val="1"/>
    <w:qFormat/>
    <w:locked/>
    <w:uiPriority w:val="1"/>
    <w:rPr>
      <w:sz w:val="24"/>
      <w:szCs w:val="24"/>
    </w:rPr>
  </w:style>
  <w:style w:type="paragraph" w:styleId="14">
    <w:name w:val="Body Text Indent"/>
    <w:basedOn w:val="1"/>
    <w:link w:val="44"/>
    <w:qFormat/>
    <w:uiPriority w:val="99"/>
    <w:pPr>
      <w:spacing w:after="120"/>
      <w:ind w:left="420" w:leftChars="200"/>
    </w:pPr>
  </w:style>
  <w:style w:type="paragraph" w:styleId="15">
    <w:name w:val="Plain Text"/>
    <w:basedOn w:val="1"/>
    <w:next w:val="1"/>
    <w:link w:val="54"/>
    <w:qFormat/>
    <w:uiPriority w:val="99"/>
    <w:pPr>
      <w:widowControl w:val="0"/>
      <w:jc w:val="both"/>
    </w:pPr>
    <w:rPr>
      <w:rFonts w:ascii="宋体" w:hAnsi="Courier New"/>
      <w:kern w:val="2"/>
    </w:rPr>
  </w:style>
  <w:style w:type="paragraph" w:styleId="16">
    <w:name w:val="Date"/>
    <w:basedOn w:val="1"/>
    <w:next w:val="1"/>
    <w:link w:val="46"/>
    <w:qFormat/>
    <w:uiPriority w:val="99"/>
    <w:pPr>
      <w:widowControl w:val="0"/>
      <w:jc w:val="both"/>
    </w:pPr>
    <w:rPr>
      <w:kern w:val="2"/>
    </w:rPr>
  </w:style>
  <w:style w:type="paragraph" w:styleId="17">
    <w:name w:val="Body Text Indent 2"/>
    <w:basedOn w:val="1"/>
    <w:link w:val="47"/>
    <w:qFormat/>
    <w:uiPriority w:val="99"/>
    <w:pPr>
      <w:spacing w:after="120" w:line="480" w:lineRule="auto"/>
      <w:ind w:left="420" w:leftChars="200"/>
    </w:pPr>
  </w:style>
  <w:style w:type="paragraph" w:styleId="18">
    <w:name w:val="Balloon Text"/>
    <w:basedOn w:val="1"/>
    <w:link w:val="48"/>
    <w:semiHidden/>
    <w:qFormat/>
    <w:uiPriority w:val="99"/>
    <w:rPr>
      <w:sz w:val="18"/>
      <w:szCs w:val="18"/>
    </w:rPr>
  </w:style>
  <w:style w:type="paragraph" w:styleId="19">
    <w:name w:val="footer"/>
    <w:basedOn w:val="1"/>
    <w:link w:val="49"/>
    <w:qFormat/>
    <w:uiPriority w:val="99"/>
    <w:pPr>
      <w:tabs>
        <w:tab w:val="center" w:pos="4153"/>
        <w:tab w:val="right" w:pos="8306"/>
      </w:tabs>
      <w:snapToGrid w:val="0"/>
    </w:pPr>
    <w:rPr>
      <w:sz w:val="18"/>
      <w:szCs w:val="18"/>
    </w:rPr>
  </w:style>
  <w:style w:type="paragraph" w:styleId="20">
    <w:name w:val="header"/>
    <w:basedOn w:val="1"/>
    <w:link w:val="56"/>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semiHidden/>
    <w:qFormat/>
    <w:uiPriority w:val="99"/>
    <w:pPr>
      <w:tabs>
        <w:tab w:val="left" w:pos="720"/>
      </w:tabs>
      <w:spacing w:line="480" w:lineRule="exact"/>
      <w:jc w:val="center"/>
    </w:pPr>
    <w:rPr>
      <w:rFonts w:ascii="宋体"/>
      <w:b/>
      <w:bCs/>
      <w:sz w:val="28"/>
      <w:szCs w:val="28"/>
    </w:rPr>
  </w:style>
  <w:style w:type="paragraph" w:styleId="22">
    <w:name w:val="index heading"/>
    <w:basedOn w:val="1"/>
    <w:next w:val="23"/>
    <w:qFormat/>
    <w:uiPriority w:val="99"/>
    <w:pPr>
      <w:widowControl w:val="0"/>
      <w:jc w:val="both"/>
    </w:pPr>
    <w:rPr>
      <w:kern w:val="2"/>
      <w:szCs w:val="24"/>
    </w:rPr>
  </w:style>
  <w:style w:type="paragraph" w:styleId="23">
    <w:name w:val="index 1"/>
    <w:basedOn w:val="1"/>
    <w:next w:val="1"/>
    <w:semiHidden/>
    <w:qFormat/>
    <w:uiPriority w:val="99"/>
  </w:style>
  <w:style w:type="paragraph" w:styleId="24">
    <w:name w:val="toc 2"/>
    <w:basedOn w:val="1"/>
    <w:next w:val="1"/>
    <w:semiHidden/>
    <w:qFormat/>
    <w:uiPriority w:val="99"/>
    <w:pPr>
      <w:keepNext w:val="0"/>
      <w:keepLines w:val="0"/>
      <w:widowControl w:val="0"/>
      <w:suppressLineNumbers w:val="0"/>
      <w:ind w:left="420" w:leftChars="200"/>
      <w:jc w:val="both"/>
    </w:pPr>
    <w:rPr>
      <w:rFonts w:hint="default" w:ascii="Times New Roman" w:hAnsi="Times New Roman" w:cs="Times New Roman"/>
      <w:kern w:val="2"/>
      <w:sz w:val="21"/>
      <w:szCs w:val="21"/>
      <w:lang w:val="en-US" w:eastAsia="zh-CN" w:bidi="ar"/>
    </w:rPr>
  </w:style>
  <w:style w:type="paragraph" w:styleId="25">
    <w:name w:val="Normal (Web)"/>
    <w:basedOn w:val="1"/>
    <w:qFormat/>
    <w:uiPriority w:val="99"/>
    <w:pPr>
      <w:spacing w:beforeAutospacing="1" w:afterAutospacing="1"/>
    </w:pPr>
    <w:rPr>
      <w:rFonts w:ascii="宋体" w:hAnsi="宋体" w:cs="宋体"/>
      <w:sz w:val="24"/>
      <w:szCs w:val="24"/>
    </w:rPr>
  </w:style>
  <w:style w:type="paragraph" w:styleId="26">
    <w:name w:val="annotation subject"/>
    <w:basedOn w:val="11"/>
    <w:next w:val="11"/>
    <w:link w:val="41"/>
    <w:semiHidden/>
    <w:qFormat/>
    <w:uiPriority w:val="99"/>
    <w:rPr>
      <w:b/>
      <w:bCs/>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Char Char Char"/>
    <w:basedOn w:val="1"/>
    <w:link w:val="29"/>
    <w:qFormat/>
    <w:uiPriority w:val="99"/>
    <w:pPr>
      <w:widowControl w:val="0"/>
      <w:jc w:val="both"/>
    </w:pPr>
    <w:rPr>
      <w:rFonts w:ascii="Tahoma" w:hAnsi="Tahoma"/>
      <w:kern w:val="2"/>
      <w:sz w:val="24"/>
    </w:rPr>
  </w:style>
  <w:style w:type="character" w:styleId="31">
    <w:name w:val="page number"/>
    <w:basedOn w:val="29"/>
    <w:qFormat/>
    <w:uiPriority w:val="99"/>
    <w:rPr>
      <w:rFonts w:cs="Times New Roman"/>
    </w:rPr>
  </w:style>
  <w:style w:type="character" w:styleId="32">
    <w:name w:val="Emphasis"/>
    <w:basedOn w:val="29"/>
    <w:qFormat/>
    <w:uiPriority w:val="99"/>
    <w:rPr>
      <w:rFonts w:cs="Times New Roman"/>
      <w:color w:val="CC0000"/>
    </w:rPr>
  </w:style>
  <w:style w:type="character" w:styleId="33">
    <w:name w:val="Hyperlink"/>
    <w:basedOn w:val="29"/>
    <w:qFormat/>
    <w:uiPriority w:val="99"/>
    <w:rPr>
      <w:rFonts w:cs="Times New Roman"/>
      <w:color w:val="0000FF"/>
      <w:u w:val="single"/>
    </w:rPr>
  </w:style>
  <w:style w:type="character" w:styleId="34">
    <w:name w:val="annotation reference"/>
    <w:basedOn w:val="29"/>
    <w:semiHidden/>
    <w:qFormat/>
    <w:uiPriority w:val="99"/>
    <w:rPr>
      <w:rFonts w:cs="Times New Roman"/>
      <w:sz w:val="21"/>
    </w:rPr>
  </w:style>
  <w:style w:type="character" w:customStyle="1" w:styleId="35">
    <w:name w:val="Heading 1 Char"/>
    <w:basedOn w:val="29"/>
    <w:link w:val="3"/>
    <w:qFormat/>
    <w:locked/>
    <w:uiPriority w:val="99"/>
    <w:rPr>
      <w:rFonts w:eastAsia="宋体" w:cs="Times New Roman"/>
      <w:b/>
      <w:kern w:val="44"/>
      <w:sz w:val="44"/>
      <w:lang w:val="en-US" w:eastAsia="zh-CN"/>
    </w:rPr>
  </w:style>
  <w:style w:type="character" w:customStyle="1" w:styleId="36">
    <w:name w:val="Heading 2 Char"/>
    <w:basedOn w:val="29"/>
    <w:link w:val="4"/>
    <w:qFormat/>
    <w:locked/>
    <w:uiPriority w:val="99"/>
    <w:rPr>
      <w:rFonts w:ascii="宋体" w:hAnsi="Arial" w:eastAsia="宋体" w:cs="Times New Roman"/>
      <w:b/>
      <w:sz w:val="32"/>
      <w:lang w:val="en-US" w:eastAsia="zh-CN"/>
    </w:rPr>
  </w:style>
  <w:style w:type="character" w:customStyle="1" w:styleId="37">
    <w:name w:val="Heading 3 Char"/>
    <w:basedOn w:val="29"/>
    <w:link w:val="5"/>
    <w:qFormat/>
    <w:locked/>
    <w:uiPriority w:val="99"/>
    <w:rPr>
      <w:rFonts w:ascii="宋体" w:eastAsia="宋体" w:cs="Times New Roman"/>
      <w:sz w:val="21"/>
      <w:lang w:val="en-US" w:eastAsia="zh-CN"/>
    </w:rPr>
  </w:style>
  <w:style w:type="character" w:customStyle="1" w:styleId="38">
    <w:name w:val="Heading 4 Char"/>
    <w:basedOn w:val="29"/>
    <w:link w:val="2"/>
    <w:semiHidden/>
    <w:qFormat/>
    <w:locked/>
    <w:uiPriority w:val="99"/>
    <w:rPr>
      <w:rFonts w:ascii="Cambria" w:hAnsi="Cambria" w:eastAsia="宋体" w:cs="Times New Roman"/>
      <w:b/>
      <w:bCs/>
      <w:kern w:val="0"/>
      <w:sz w:val="28"/>
      <w:szCs w:val="28"/>
    </w:rPr>
  </w:style>
  <w:style w:type="character" w:customStyle="1" w:styleId="39">
    <w:name w:val="Heading 9 Char"/>
    <w:basedOn w:val="29"/>
    <w:link w:val="7"/>
    <w:semiHidden/>
    <w:qFormat/>
    <w:locked/>
    <w:uiPriority w:val="99"/>
    <w:rPr>
      <w:rFonts w:ascii="Cambria" w:hAnsi="Cambria" w:eastAsia="宋体" w:cs="Times New Roman"/>
      <w:kern w:val="0"/>
      <w:sz w:val="21"/>
      <w:szCs w:val="21"/>
    </w:rPr>
  </w:style>
  <w:style w:type="character" w:customStyle="1" w:styleId="40">
    <w:name w:val="Comment Text Char"/>
    <w:basedOn w:val="29"/>
    <w:link w:val="11"/>
    <w:semiHidden/>
    <w:qFormat/>
    <w:locked/>
    <w:uiPriority w:val="99"/>
    <w:rPr>
      <w:rFonts w:cs="Times New Roman"/>
      <w:kern w:val="0"/>
      <w:sz w:val="20"/>
      <w:szCs w:val="20"/>
    </w:rPr>
  </w:style>
  <w:style w:type="character" w:customStyle="1" w:styleId="41">
    <w:name w:val="Comment Subject Char"/>
    <w:basedOn w:val="40"/>
    <w:link w:val="26"/>
    <w:semiHidden/>
    <w:qFormat/>
    <w:locked/>
    <w:uiPriority w:val="99"/>
    <w:rPr>
      <w:b/>
      <w:bCs/>
    </w:rPr>
  </w:style>
  <w:style w:type="character" w:customStyle="1" w:styleId="42">
    <w:name w:val="Document Map Char"/>
    <w:basedOn w:val="29"/>
    <w:link w:val="10"/>
    <w:qFormat/>
    <w:locked/>
    <w:uiPriority w:val="99"/>
    <w:rPr>
      <w:rFonts w:ascii="宋体" w:cs="Times New Roman"/>
      <w:sz w:val="18"/>
    </w:rPr>
  </w:style>
  <w:style w:type="character" w:customStyle="1" w:styleId="43">
    <w:name w:val="Body Text 3 Char"/>
    <w:basedOn w:val="29"/>
    <w:link w:val="12"/>
    <w:qFormat/>
    <w:locked/>
    <w:uiPriority w:val="99"/>
    <w:rPr>
      <w:rFonts w:eastAsia="宋体" w:cs="Times New Roman"/>
      <w:sz w:val="16"/>
      <w:lang w:val="en-US" w:eastAsia="zh-CN"/>
    </w:rPr>
  </w:style>
  <w:style w:type="character" w:customStyle="1" w:styleId="44">
    <w:name w:val="Body Text Indent Char"/>
    <w:basedOn w:val="29"/>
    <w:link w:val="14"/>
    <w:semiHidden/>
    <w:qFormat/>
    <w:locked/>
    <w:uiPriority w:val="99"/>
    <w:rPr>
      <w:rFonts w:cs="Times New Roman"/>
      <w:kern w:val="0"/>
      <w:sz w:val="20"/>
      <w:szCs w:val="20"/>
    </w:rPr>
  </w:style>
  <w:style w:type="character" w:customStyle="1" w:styleId="45">
    <w:name w:val="Plain Text Char"/>
    <w:basedOn w:val="29"/>
    <w:link w:val="15"/>
    <w:qFormat/>
    <w:locked/>
    <w:uiPriority w:val="99"/>
    <w:rPr>
      <w:rFonts w:ascii="宋体" w:hAnsi="Courier New" w:eastAsia="宋体" w:cs="Times New Roman"/>
      <w:kern w:val="0"/>
      <w:sz w:val="21"/>
    </w:rPr>
  </w:style>
  <w:style w:type="character" w:customStyle="1" w:styleId="46">
    <w:name w:val="Date Char"/>
    <w:basedOn w:val="29"/>
    <w:link w:val="16"/>
    <w:semiHidden/>
    <w:qFormat/>
    <w:locked/>
    <w:uiPriority w:val="99"/>
    <w:rPr>
      <w:rFonts w:cs="Times New Roman"/>
      <w:kern w:val="0"/>
      <w:sz w:val="20"/>
      <w:szCs w:val="20"/>
    </w:rPr>
  </w:style>
  <w:style w:type="character" w:customStyle="1" w:styleId="47">
    <w:name w:val="Body Text Indent 2 Char"/>
    <w:basedOn w:val="29"/>
    <w:link w:val="17"/>
    <w:semiHidden/>
    <w:qFormat/>
    <w:locked/>
    <w:uiPriority w:val="99"/>
    <w:rPr>
      <w:rFonts w:cs="Times New Roman"/>
      <w:kern w:val="0"/>
      <w:sz w:val="20"/>
      <w:szCs w:val="20"/>
    </w:rPr>
  </w:style>
  <w:style w:type="character" w:customStyle="1" w:styleId="48">
    <w:name w:val="Balloon Text Char"/>
    <w:basedOn w:val="29"/>
    <w:link w:val="18"/>
    <w:semiHidden/>
    <w:qFormat/>
    <w:locked/>
    <w:uiPriority w:val="99"/>
    <w:rPr>
      <w:rFonts w:cs="Times New Roman"/>
      <w:kern w:val="0"/>
      <w:sz w:val="2"/>
    </w:rPr>
  </w:style>
  <w:style w:type="character" w:customStyle="1" w:styleId="49">
    <w:name w:val="Footer Char"/>
    <w:basedOn w:val="29"/>
    <w:link w:val="19"/>
    <w:qFormat/>
    <w:locked/>
    <w:uiPriority w:val="99"/>
    <w:rPr>
      <w:rFonts w:eastAsia="宋体" w:cs="Times New Roman"/>
      <w:sz w:val="18"/>
      <w:lang w:val="en-US" w:eastAsia="zh-CN"/>
    </w:rPr>
  </w:style>
  <w:style w:type="character" w:customStyle="1" w:styleId="50">
    <w:name w:val="Header Char"/>
    <w:basedOn w:val="29"/>
    <w:link w:val="20"/>
    <w:qFormat/>
    <w:locked/>
    <w:uiPriority w:val="99"/>
    <w:rPr>
      <w:rFonts w:cs="Times New Roman"/>
      <w:sz w:val="18"/>
    </w:rPr>
  </w:style>
  <w:style w:type="character" w:customStyle="1" w:styleId="51">
    <w:name w:val="Normal Indent Char"/>
    <w:qFormat/>
    <w:locked/>
    <w:uiPriority w:val="99"/>
    <w:rPr>
      <w:rFonts w:ascii="Times New Roman" w:hAnsi="Times New Roman" w:eastAsia="宋体"/>
      <w:kern w:val="0"/>
      <w:sz w:val="20"/>
    </w:rPr>
  </w:style>
  <w:style w:type="character" w:customStyle="1" w:styleId="52">
    <w:name w:val="Normal Indent Char1"/>
    <w:link w:val="8"/>
    <w:qFormat/>
    <w:locked/>
    <w:uiPriority w:val="99"/>
    <w:rPr>
      <w:rFonts w:ascii="宋体" w:eastAsia="宋体"/>
      <w:snapToGrid w:val="0"/>
      <w:color w:val="000000"/>
      <w:sz w:val="21"/>
      <w:lang w:val="en-US" w:eastAsia="zh-CN"/>
    </w:rPr>
  </w:style>
  <w:style w:type="character" w:customStyle="1" w:styleId="53">
    <w:name w:val="font01"/>
    <w:qFormat/>
    <w:uiPriority w:val="99"/>
    <w:rPr>
      <w:rFonts w:ascii="宋体" w:hAnsi="宋体" w:eastAsia="宋体"/>
      <w:color w:val="000000"/>
      <w:sz w:val="24"/>
      <w:u w:val="none"/>
    </w:rPr>
  </w:style>
  <w:style w:type="character" w:customStyle="1" w:styleId="54">
    <w:name w:val="Plain Text Char1"/>
    <w:link w:val="15"/>
    <w:qFormat/>
    <w:locked/>
    <w:uiPriority w:val="99"/>
    <w:rPr>
      <w:rFonts w:ascii="宋体" w:hAnsi="Courier New" w:eastAsia="宋体"/>
      <w:kern w:val="2"/>
      <w:sz w:val="21"/>
      <w:lang w:val="en-US" w:eastAsia="zh-CN"/>
    </w:rPr>
  </w:style>
  <w:style w:type="character" w:customStyle="1" w:styleId="55">
    <w:name w:val="style81"/>
    <w:qFormat/>
    <w:uiPriority w:val="99"/>
    <w:rPr>
      <w:sz w:val="21"/>
    </w:rPr>
  </w:style>
  <w:style w:type="character" w:customStyle="1" w:styleId="56">
    <w:name w:val="Header Char1"/>
    <w:link w:val="20"/>
    <w:qFormat/>
    <w:locked/>
    <w:uiPriority w:val="99"/>
    <w:rPr>
      <w:rFonts w:eastAsia="宋体"/>
      <w:sz w:val="18"/>
      <w:lang w:val="en-US" w:eastAsia="zh-CN"/>
    </w:rPr>
  </w:style>
  <w:style w:type="paragraph" w:customStyle="1" w:styleId="57">
    <w:name w:val="_Style 10"/>
    <w:basedOn w:val="1"/>
    <w:qFormat/>
    <w:uiPriority w:val="99"/>
    <w:pPr>
      <w:spacing w:after="160" w:line="240" w:lineRule="exact"/>
    </w:pPr>
    <w:rPr>
      <w:rFonts w:ascii="Verdana" w:hAnsi="Verdana"/>
      <w:lang w:eastAsia="en-US"/>
    </w:rPr>
  </w:style>
  <w:style w:type="paragraph" w:customStyle="1" w:styleId="58">
    <w:name w:val="0段落文字"/>
    <w:basedOn w:val="1"/>
    <w:qFormat/>
    <w:uiPriority w:val="99"/>
    <w:pPr>
      <w:spacing w:line="360" w:lineRule="auto"/>
      <w:ind w:firstLine="200" w:firstLineChars="200"/>
    </w:pPr>
    <w:rPr>
      <w:sz w:val="24"/>
      <w:szCs w:val="21"/>
    </w:rPr>
  </w:style>
  <w:style w:type="paragraph" w:customStyle="1" w:styleId="59">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0">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1">
    <w:name w:val="_正文段落"/>
    <w:basedOn w:val="1"/>
    <w:qFormat/>
    <w:uiPriority w:val="99"/>
    <w:pPr>
      <w:spacing w:line="360" w:lineRule="auto"/>
      <w:ind w:firstLine="480" w:firstLineChars="200"/>
    </w:pPr>
    <w:rPr>
      <w:rFonts w:ascii="宋体" w:hAnsi="宋体"/>
      <w:sz w:val="24"/>
    </w:rPr>
  </w:style>
  <w:style w:type="paragraph" w:customStyle="1" w:styleId="62">
    <w:name w:val="列出段落1"/>
    <w:basedOn w:val="1"/>
    <w:qFormat/>
    <w:uiPriority w:val="99"/>
    <w:pPr>
      <w:widowControl w:val="0"/>
      <w:ind w:firstLine="420" w:firstLineChars="200"/>
      <w:jc w:val="both"/>
    </w:pPr>
    <w:rPr>
      <w:rFonts w:ascii="Calibri" w:hAnsi="Calibri"/>
      <w:kern w:val="2"/>
      <w:szCs w:val="22"/>
    </w:rPr>
  </w:style>
  <w:style w:type="paragraph" w:customStyle="1" w:styleId="63">
    <w:name w:val="表格文字"/>
    <w:basedOn w:val="1"/>
    <w:qFormat/>
    <w:uiPriority w:val="99"/>
    <w:pPr>
      <w:widowControl w:val="0"/>
      <w:spacing w:before="25" w:after="25"/>
    </w:pPr>
    <w:rPr>
      <w:bCs/>
      <w:spacing w:val="10"/>
      <w:sz w:val="24"/>
    </w:rPr>
  </w:style>
  <w:style w:type="paragraph" w:customStyle="1" w:styleId="64">
    <w:name w:val="Char1"/>
    <w:basedOn w:val="1"/>
    <w:qFormat/>
    <w:uiPriority w:val="99"/>
    <w:pPr>
      <w:spacing w:after="160" w:line="240" w:lineRule="exact"/>
    </w:pPr>
    <w:rPr>
      <w:rFonts w:ascii="Verdana" w:hAnsi="Verdana"/>
      <w:lang w:eastAsia="en-US"/>
    </w:rPr>
  </w:style>
  <w:style w:type="paragraph" w:customStyle="1" w:styleId="65">
    <w:name w:val="题注5"/>
    <w:basedOn w:val="1"/>
    <w:next w:val="9"/>
    <w:qFormat/>
    <w:uiPriority w:val="99"/>
    <w:pPr>
      <w:widowControl w:val="0"/>
      <w:jc w:val="center"/>
    </w:pPr>
    <w:rPr>
      <w:b/>
      <w:color w:val="000000"/>
      <w:kern w:val="2"/>
      <w:sz w:val="24"/>
      <w:szCs w:val="21"/>
    </w:rPr>
  </w:style>
  <w:style w:type="paragraph" w:customStyle="1" w:styleId="66">
    <w:name w:val="列出段落2"/>
    <w:basedOn w:val="1"/>
    <w:qFormat/>
    <w:uiPriority w:val="99"/>
    <w:pPr>
      <w:widowControl w:val="0"/>
      <w:ind w:firstLine="420" w:firstLineChars="200"/>
      <w:jc w:val="both"/>
    </w:pPr>
    <w:rPr>
      <w:rFonts w:ascii="Calibri" w:hAnsi="Calibri"/>
      <w:kern w:val="2"/>
      <w:szCs w:val="22"/>
    </w:rPr>
  </w:style>
  <w:style w:type="paragraph" w:customStyle="1" w:styleId="67">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68">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9">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0">
    <w:name w:val=" Char Char11"/>
    <w:basedOn w:val="29"/>
    <w:qFormat/>
    <w:uiPriority w:val="0"/>
    <w:rPr>
      <w:rFonts w:ascii="Verdana" w:hAnsi="Verdana"/>
      <w:lang w:eastAsia="en-US"/>
    </w:rPr>
  </w:style>
  <w:style w:type="paragraph" w:customStyle="1" w:styleId="71">
    <w:name w:val="Table Paragraph"/>
    <w:basedOn w:val="1"/>
    <w:qFormat/>
    <w:uiPriority w:val="1"/>
  </w:style>
  <w:style w:type="paragraph" w:styleId="72">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3">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4">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5">
    <w:name w:val="标题 1 New"/>
    <w:next w:val="76"/>
    <w:qFormat/>
    <w:uiPriority w:val="0"/>
    <w:pPr>
      <w:keepNext/>
      <w:widowControl w:val="0"/>
      <w:jc w:val="both"/>
      <w:outlineLvl w:val="0"/>
    </w:pPr>
    <w:rPr>
      <w:rFonts w:ascii="Times New Roman" w:hAnsi="Times New Roman" w:eastAsia="Arial Unicode MS" w:cs="Times New Roman"/>
      <w:kern w:val="2"/>
      <w:sz w:val="28"/>
      <w:szCs w:val="24"/>
      <w:lang w:val="en-US" w:eastAsia="zh-CN" w:bidi="ar-SA"/>
    </w:rPr>
  </w:style>
  <w:style w:type="paragraph" w:customStyle="1" w:styleId="7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7 New"/>
    <w:next w:val="76"/>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 w:type="paragraph" w:customStyle="1" w:styleId="78">
    <w:name w:val="Plain Text"/>
    <w:basedOn w:val="1"/>
    <w:qFormat/>
    <w:uiPriority w:val="0"/>
    <w:rPr>
      <w:rFonts w:ascii="宋体" w:hAnsi="Courier New"/>
      <w:kern w:val="0"/>
      <w:sz w:val="20"/>
      <w:szCs w:val="20"/>
    </w:rPr>
  </w:style>
  <w:style w:type="paragraph" w:customStyle="1" w:styleId="79">
    <w:name w:val="WPSOffice手动目录 2"/>
    <w:basedOn w:val="1"/>
    <w:qFormat/>
    <w:uiPriority w:val="0"/>
    <w:pPr>
      <w:widowControl/>
      <w:ind w:leftChars="200"/>
      <w:jc w:val="left"/>
    </w:pPr>
    <w:rPr>
      <w:rFonts w:hint="default" w:ascii="Times New Roman" w:hAnsi="Times New Roman" w:cs="Times New Roman"/>
      <w:kern w:val="0"/>
      <w:sz w:val="24"/>
      <w:szCs w:val="24"/>
      <w:lang w:val="en-US" w:eastAsia="zh-CN" w:bidi="ar"/>
    </w:rPr>
  </w:style>
  <w:style w:type="paragraph" w:customStyle="1" w:styleId="80">
    <w:name w:val="样式 首行缩进: 2 字符"/>
    <w:basedOn w:val="1"/>
    <w:qFormat/>
    <w:uiPriority w:val="0"/>
    <w:pPr>
      <w:keepNext w:val="0"/>
      <w:keepLines w:val="0"/>
      <w:widowControl w:val="0"/>
      <w:suppressLineNumbers w:val="0"/>
      <w:spacing w:before="0" w:beforeAutospacing="0" w:after="0" w:afterAutospacing="0" w:line="360" w:lineRule="auto"/>
      <w:ind w:left="0" w:right="0" w:firstLine="582" w:firstLineChars="200"/>
      <w:jc w:val="both"/>
    </w:pPr>
    <w:rPr>
      <w:rFonts w:hint="default" w:ascii="Times New Roman" w:hAnsi="Times New Roman" w:eastAsia="仿宋_GB2312" w:cs="宋体"/>
      <w:kern w:val="10"/>
      <w:sz w:val="28"/>
      <w:szCs w:val="28"/>
      <w:lang w:val="en-US" w:eastAsia="zh-CN" w:bidi="ar"/>
    </w:rPr>
  </w:style>
  <w:style w:type="paragraph" w:customStyle="1" w:styleId="81">
    <w:name w:val="Normal Indent1"/>
    <w:basedOn w:val="1"/>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108" textRotate="1"/>
    <customShpInfo spid="_x0000_s4109" textRotate="1"/>
    <customShpInfo spid="_x0000_s4110" textRotate="1"/>
    <customShpInfo spid="_x0000_s4112" textRotate="1"/>
    <customShpInfo spid="_x0000_s4114" textRotate="1"/>
    <customShpInfo spid="_x0000_s4115" textRotate="1"/>
    <customShpInfo spid="_x0000_s411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77</Pages>
  <Words>32514</Words>
  <Characters>35697</Characters>
  <Lines>1</Lines>
  <Paragraphs>1</Paragraphs>
  <TotalTime>73</TotalTime>
  <ScaleCrop>false</ScaleCrop>
  <LinksUpToDate>false</LinksUpToDate>
  <CharactersWithSpaces>40596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粤东机关枪</cp:lastModifiedBy>
  <cp:lastPrinted>2017-08-25T03:24:00Z</cp:lastPrinted>
  <dcterms:modified xsi:type="dcterms:W3CDTF">2020-06-01T03:02:09Z</dcterms:modified>
  <dc:title>0封面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