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云浮市生态环境局罗定分局2021年建设项目环境影响报告书（表）技术评估服务项目</w:t>
      </w:r>
    </w:p>
    <w:p>
      <w:pPr>
        <w:spacing w:line="1200" w:lineRule="auto"/>
        <w:jc w:val="center"/>
        <w:rPr>
          <w:rFonts w:hint="eastAsia" w:ascii="宋体" w:hAnsi="宋体"/>
          <w:color w:val="auto"/>
          <w:spacing w:val="26"/>
          <w:sz w:val="72"/>
          <w:szCs w:val="72"/>
          <w:lang w:eastAsia="zh-CN"/>
        </w:rPr>
      </w:pPr>
    </w:p>
    <w:p>
      <w:pPr>
        <w:pStyle w:val="6"/>
        <w:rPr>
          <w:rFonts w:hint="eastAsia"/>
          <w:lang w:eastAsia="zh-CN"/>
        </w:rPr>
      </w:pPr>
    </w:p>
    <w:p>
      <w:pPr>
        <w:spacing w:line="1200" w:lineRule="auto"/>
        <w:jc w:val="center"/>
        <w:rPr>
          <w:rFonts w:hint="eastAsia" w:ascii="宋体" w:eastAsia="宋体"/>
          <w:color w:val="auto"/>
          <w:spacing w:val="26"/>
          <w:sz w:val="72"/>
          <w:szCs w:val="72"/>
          <w:lang w:eastAsia="zh-CN"/>
        </w:rPr>
      </w:pPr>
      <w:r>
        <w:rPr>
          <w:rFonts w:hint="eastAsia" w:ascii="宋体" w:hAnsi="宋体"/>
          <w:color w:val="auto"/>
          <w:spacing w:val="26"/>
          <w:sz w:val="72"/>
          <w:szCs w:val="72"/>
          <w:lang w:eastAsia="zh-CN"/>
        </w:rPr>
        <w:t>竞争性磋商</w:t>
      </w:r>
    </w:p>
    <w:p>
      <w:pPr>
        <w:snapToGrid w:val="0"/>
        <w:jc w:val="center"/>
        <w:rPr>
          <w:rFonts w:ascii="宋体"/>
          <w:b/>
          <w:color w:val="auto"/>
          <w:spacing w:val="20"/>
          <w:kern w:val="10"/>
          <w:sz w:val="52"/>
          <w:szCs w:val="52"/>
        </w:rPr>
      </w:pPr>
    </w:p>
    <w:p>
      <w:pPr>
        <w:pStyle w:val="6"/>
      </w:pPr>
    </w:p>
    <w:p>
      <w:pPr>
        <w:jc w:val="both"/>
        <w:rPr>
          <w:rFonts w:hint="eastAsia" w:ascii="宋体" w:hAnsi="宋体"/>
          <w:b/>
          <w:color w:val="auto"/>
          <w:sz w:val="30"/>
          <w:szCs w:val="30"/>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000000" w:themeColor="text1"/>
          <w:sz w:val="30"/>
          <w:szCs w:val="30"/>
          <w:lang w:eastAsia="zh-CN"/>
          <w14:textFill>
            <w14:solidFill>
              <w14:schemeClr w14:val="tx1"/>
            </w14:solidFill>
          </w14:textFill>
        </w:rPr>
        <w:t>GDYX2021YB0005</w:t>
      </w:r>
      <w:r>
        <w:rPr>
          <w:rFonts w:hint="eastAsia" w:ascii="宋体" w:hAnsi="宋体"/>
          <w:b/>
          <w:color w:val="auto"/>
          <w:sz w:val="30"/>
          <w:szCs w:val="30"/>
          <w:lang w:eastAsia="zh-CN"/>
        </w:rPr>
        <w:t xml:space="preserve">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21</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1</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lang w:eastAsia="zh-CN"/>
        </w:rPr>
        <w:t>磋商须</w:t>
      </w:r>
      <w:r>
        <w:rPr>
          <w:rFonts w:hint="eastAsia" w:ascii="宋体" w:hAnsi="宋体"/>
          <w:color w:val="auto"/>
          <w:sz w:val="30"/>
          <w:szCs w:val="30"/>
        </w:rPr>
        <w:t>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lang w:eastAsia="zh-CN"/>
        </w:rPr>
        <w:t>响应文件</w:t>
      </w:r>
      <w:r>
        <w:rPr>
          <w:rFonts w:hint="eastAsia" w:ascii="宋体" w:hAnsi="宋体"/>
          <w:color w:val="auto"/>
          <w:sz w:val="30"/>
          <w:szCs w:val="30"/>
        </w:rPr>
        <w:t>格式……………………………………………</w:t>
      </w:r>
      <w:r>
        <w:rPr>
          <w:rFonts w:hint="eastAsia" w:ascii="宋体" w:hAnsi="宋体"/>
          <w:color w:val="auto"/>
          <w:sz w:val="30"/>
          <w:szCs w:val="30"/>
          <w:lang w:val="en-US" w:eastAsia="zh-CN"/>
        </w:rPr>
        <w:t>39</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pStyle w:val="3"/>
        <w:bidi w:val="0"/>
        <w:jc w:val="center"/>
      </w:pPr>
      <w:r>
        <w:rPr>
          <w:rFonts w:hint="eastAsia"/>
        </w:rPr>
        <w:t>第一部分</w:t>
      </w:r>
    </w:p>
    <w:p>
      <w:pPr>
        <w:pStyle w:val="3"/>
        <w:bidi w:val="0"/>
        <w:jc w:val="center"/>
        <w:rPr>
          <w:rFonts w:ascii="黑体" w:eastAsia="黑体"/>
          <w:b/>
          <w:color w:val="auto"/>
        </w:rPr>
      </w:pPr>
      <w:r>
        <w:rPr>
          <w:rFonts w:hint="eastAsia"/>
        </w:rPr>
        <w:t>磋</w:t>
      </w:r>
      <w:r>
        <w:t xml:space="preserve"> </w:t>
      </w:r>
      <w:r>
        <w:rPr>
          <w:rFonts w:hint="eastAsia"/>
        </w:rPr>
        <w:t>商</w:t>
      </w:r>
      <w:r>
        <w:t xml:space="preserve"> </w:t>
      </w:r>
      <w:r>
        <w:rPr>
          <w:rFonts w:hint="eastAsia"/>
        </w:rPr>
        <w:t>邀</w:t>
      </w:r>
      <w:r>
        <w:t xml:space="preserve"> </w:t>
      </w:r>
      <w:r>
        <w:rPr>
          <w:rFonts w:hint="eastAsia"/>
        </w:rPr>
        <w:t>请</w:t>
      </w:r>
      <w:r>
        <w:t xml:space="preserve"> </w:t>
      </w:r>
      <w:r>
        <w:rPr>
          <w:rFonts w:hint="eastAsia"/>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云浮市生态环境局罗定分局</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云浮市生态环境局罗定分局2021年建设项目环境影响报告书（表）技术评估服务项目</w:t>
      </w:r>
      <w:r>
        <w:rPr>
          <w:rFonts w:hint="eastAsia" w:ascii="宋体" w:hAnsi="宋体" w:cs="Tahoma"/>
          <w:color w:val="auto"/>
          <w:kern w:val="28"/>
        </w:rPr>
        <w:t>（编</w:t>
      </w:r>
      <w:r>
        <w:rPr>
          <w:rFonts w:hint="eastAsia" w:ascii="宋体" w:hAnsi="宋体" w:cs="Tahoma"/>
          <w:color w:val="auto"/>
          <w:kern w:val="28"/>
          <w:lang w:eastAsia="zh-CN"/>
        </w:rPr>
        <w:t>号：</w:t>
      </w:r>
      <w:r>
        <w:rPr>
          <w:rFonts w:hint="eastAsia" w:ascii="宋体" w:hAnsi="宋体"/>
          <w:color w:val="000000" w:themeColor="text1"/>
          <w:lang w:eastAsia="zh-CN"/>
          <w14:textFill>
            <w14:solidFill>
              <w14:schemeClr w14:val="tx1"/>
            </w14:solidFill>
          </w14:textFill>
        </w:rPr>
        <w:t>GDYX2021YB0005</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响应供应商</w:t>
      </w:r>
      <w:r>
        <w:rPr>
          <w:rFonts w:hint="eastAsia" w:ascii="宋体" w:hAnsi="宋体" w:cs="Tahoma"/>
          <w:color w:val="auto"/>
          <w:kern w:val="28"/>
        </w:rPr>
        <w:t>参加。</w:t>
      </w:r>
    </w:p>
    <w:p>
      <w:pPr>
        <w:snapToGrid w:val="0"/>
        <w:spacing w:line="480" w:lineRule="exact"/>
        <w:outlineLvl w:val="0"/>
        <w:rPr>
          <w:rFonts w:ascii="宋体" w:cs="Tahoma"/>
          <w:b/>
          <w:bCs/>
          <w:color w:val="auto"/>
        </w:rPr>
      </w:pPr>
      <w:r>
        <w:rPr>
          <w:rFonts w:hint="eastAsia" w:ascii="宋体" w:hAnsi="宋体" w:cs="Tahoma"/>
          <w:b/>
          <w:bCs/>
          <w:color w:val="auto"/>
        </w:rPr>
        <w:t>一、磋商项目的</w:t>
      </w:r>
      <w:r>
        <w:rPr>
          <w:rFonts w:hint="eastAsia" w:ascii="宋体" w:hAnsi="宋体"/>
          <w:b/>
          <w:bCs/>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云浮市生态环境局罗定分局2021年建设项目环境影响报告书（表）技术评估服务项目</w:t>
      </w:r>
    </w:p>
    <w:p>
      <w:pPr>
        <w:spacing w:line="480" w:lineRule="exact"/>
        <w:rPr>
          <w:rFonts w:ascii="宋体" w:cs="宋体"/>
          <w:color w:val="auto"/>
        </w:rPr>
      </w:pPr>
      <w:r>
        <w:rPr>
          <w:color w:val="auto"/>
        </w:rPr>
        <w:t>2</w:t>
      </w:r>
      <w:r>
        <w:rPr>
          <w:rFonts w:hint="eastAsia"/>
          <w:color w:val="auto"/>
        </w:rPr>
        <w:t>、预算金额：</w:t>
      </w:r>
      <w:r>
        <w:rPr>
          <w:rFonts w:hint="eastAsia" w:ascii="宋体" w:cs="宋体"/>
          <w:color w:val="auto"/>
        </w:rPr>
        <w:t>¥</w:t>
      </w:r>
      <w:r>
        <w:rPr>
          <w:rFonts w:hint="eastAsia" w:ascii="宋体" w:cs="宋体"/>
          <w:color w:val="auto"/>
          <w:lang w:eastAsia="zh-CN"/>
        </w:rPr>
        <w:t>980,000.00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lang w:val="en-US" w:eastAsia="zh-CN"/>
        </w:rPr>
        <w:t xml:space="preserve"> </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lang w:eastAsia="zh-CN"/>
        </w:rPr>
        <w:t>响应供应商</w:t>
      </w:r>
      <w:r>
        <w:rPr>
          <w:rFonts w:hint="eastAsia" w:ascii="宋体" w:hAnsi="宋体"/>
          <w:b/>
          <w:bCs/>
          <w:color w:val="auto"/>
          <w:szCs w:val="21"/>
        </w:rPr>
        <w:t>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w:t>
      </w:r>
      <w:r>
        <w:rPr>
          <w:rFonts w:hint="eastAsia" w:ascii="宋体" w:hAnsi="宋体" w:cs="Tahoma"/>
          <w:b/>
          <w:color w:val="auto"/>
          <w:lang w:eastAsia="zh-CN"/>
        </w:rPr>
        <w:t>响应供应商</w:t>
      </w:r>
      <w:r>
        <w:rPr>
          <w:rFonts w:hint="eastAsia" w:ascii="宋体" w:hAnsi="宋体" w:cs="Tahoma"/>
          <w:b/>
          <w:color w:val="auto"/>
        </w:rPr>
        <w:t>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1、供应商应具备《政府采购法》第二十二条规定的条件。</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供应商必须是具有独立承担民事责任能力的在中华人民共和国境内注册的法人或其他组织，提交法人或者其他组织的营业执照等证明文件。</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提供2019年度财务状况报告或2020年任意1个月的财务状况报告复印件，或银行出具的资信证明材料复印件。</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提供2020年任意1个月缴纳税收和社会保险的凭据证明材料复印件；如依法免税或不需要缴纳社会保障资金的，应提供相应文件证明。</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提供履行合同所必需的设备和专业技术能力的书面声明（提供《响应供应商资格声明函》）。</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提供参加政府采购活动前3年内在经营活动中没有重大违法记录的书面声明；（提供《响应供应商资格声明函》）。</w:t>
      </w:r>
    </w:p>
    <w:p>
      <w:pPr>
        <w:pStyle w:val="2"/>
        <w:spacing w:line="360" w:lineRule="auto"/>
        <w:ind w:firstLine="630" w:firstLineChars="300"/>
        <w:rPr>
          <w:rFonts w:hint="eastAsia" w:ascii="宋体" w:hAnsi="宋体" w:eastAsia="宋体" w:cs="宋体"/>
          <w:sz w:val="21"/>
          <w:szCs w:val="21"/>
          <w:lang w:val="en-US" w:eastAsia="zh-CN"/>
        </w:rPr>
      </w:pPr>
      <w:r>
        <w:rPr>
          <w:rFonts w:hint="eastAsia" w:ascii="宋体" w:hAnsi="宋体" w:cs="宋体"/>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2、投标供应商具有独立承担民事责任能力的在中华人民共和国境内注册的法人或其他组织，具有从事本项目的经营范围。</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3、投标供应商未被列入“信用中国”网站(www.creditchina.gov.cn )“记录失信被执行人或重大税收 违法案件当事人名单或政府采购严重违法失信行为”记录名单；不处于中国政府采购网 (www.ccgp.gov.cn)“政府采购严重违法失信行为信息记录”中的禁止参加政府采购活动期间。【在“信用中国”网站（www.creditchina.gov.cn）及中国政府采购网(www.ccgp.gov.cn )查询结果以投标提供截图并加盖公章为准，如相关失信记录已失效，投标需提供相关证明资料。查询有效期为自本项目采购公告发出之日起至递交投标文件截止时间止】。</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4、为采购项目提供整体设计、规范编制或者项目管理、监理、检测等服务的供应商，不得再参加该采购项目的其他采购活动。（提供《响应供应商资格声明函》）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6、本项目不接受联合体投标，不允许转包和分包。</w:t>
      </w:r>
    </w:p>
    <w:p>
      <w:pPr>
        <w:adjustRightInd w:val="0"/>
        <w:snapToGrid w:val="0"/>
        <w:spacing w:line="480" w:lineRule="exact"/>
        <w:ind w:firstLine="420" w:firstLineChars="200"/>
        <w:rPr>
          <w:rFonts w:ascii="宋体" w:cs="Arial"/>
          <w:color w:val="auto"/>
        </w:rPr>
      </w:pPr>
      <w:r>
        <w:rPr>
          <w:rFonts w:hint="eastAsia" w:ascii="宋体" w:hAnsi="宋体" w:cs="宋体"/>
          <w:color w:val="auto"/>
          <w:sz w:val="21"/>
          <w:szCs w:val="21"/>
          <w:lang w:val="en-US" w:eastAsia="zh-CN"/>
        </w:rPr>
        <w:t>符合以上要求的响应供应商，磋商小组以公开报名</w:t>
      </w:r>
      <w:r>
        <w:rPr>
          <w:rFonts w:hint="eastAsia" w:ascii="宋体" w:hAnsi="宋体" w:cs="Arial"/>
          <w:color w:val="auto"/>
        </w:rPr>
        <w:t>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14:textFill>
            <w14:solidFill>
              <w14:schemeClr w14:val="tx1"/>
            </w14:solidFill>
          </w14:textFill>
        </w:rPr>
      </w:pPr>
      <w:r>
        <w:rPr>
          <w:rFonts w:ascii="宋体" w:hAnsi="宋体" w:cs="Tahoma"/>
          <w:color w:val="000000" w:themeColor="text1"/>
          <w14:textFill>
            <w14:solidFill>
              <w14:schemeClr w14:val="tx1"/>
            </w14:solidFill>
          </w14:textFill>
        </w:rPr>
        <w:t>1</w:t>
      </w:r>
      <w:r>
        <w:rPr>
          <w:rFonts w:hint="eastAsia" w:ascii="宋体" w:hAnsi="宋体" w:cs="Tahoma"/>
          <w:color w:val="000000" w:themeColor="text1"/>
          <w14:textFill>
            <w14:solidFill>
              <w14:schemeClr w14:val="tx1"/>
            </w14:solidFill>
          </w14:textFill>
        </w:rPr>
        <w:t>、</w:t>
      </w:r>
      <w:r>
        <w:rPr>
          <w:rFonts w:hint="eastAsia" w:ascii="宋体" w:hAnsi="宋体" w:cs="Tahoma"/>
          <w:color w:val="000000" w:themeColor="text1"/>
          <w:lang w:eastAsia="zh-CN"/>
          <w14:textFill>
            <w14:solidFill>
              <w14:schemeClr w14:val="tx1"/>
            </w14:solidFill>
          </w14:textFill>
        </w:rPr>
        <w:t>报名</w:t>
      </w:r>
      <w:r>
        <w:rPr>
          <w:rFonts w:hint="eastAsia" w:ascii="宋体" w:hAnsi="宋体" w:cs="Tahoma"/>
          <w:color w:val="000000" w:themeColor="text1"/>
          <w14:textFill>
            <w14:solidFill>
              <w14:schemeClr w14:val="tx1"/>
            </w14:solidFill>
          </w14:textFill>
        </w:rPr>
        <w:t>时间：</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21</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1</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8</w:t>
      </w:r>
      <w:r>
        <w:rPr>
          <w:rFonts w:hint="eastAsia" w:ascii="宋体" w:hAnsi="宋体" w:cs="Tahoma"/>
          <w:color w:val="000000" w:themeColor="text1"/>
          <w:kern w:val="28"/>
          <w14:textFill>
            <w14:solidFill>
              <w14:schemeClr w14:val="tx1"/>
            </w14:solidFill>
          </w14:textFill>
        </w:rPr>
        <w:t>日至</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21</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1</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14</w:t>
      </w:r>
      <w:r>
        <w:rPr>
          <w:rFonts w:hint="eastAsia" w:ascii="宋体" w:hAnsi="宋体" w:cs="Tahoma"/>
          <w:color w:val="000000" w:themeColor="text1"/>
          <w:kern w:val="28"/>
          <w14:textFill>
            <w14:solidFill>
              <w14:schemeClr w14:val="tx1"/>
            </w14:solidFill>
          </w14:textFill>
        </w:rPr>
        <w:t>日</w:t>
      </w:r>
      <w:r>
        <w:rPr>
          <w:rFonts w:ascii="宋体" w:hAnsi="宋体" w:cs="Tahoma"/>
          <w:color w:val="000000" w:themeColor="text1"/>
          <w:kern w:val="28"/>
          <w14:textFill>
            <w14:solidFill>
              <w14:schemeClr w14:val="tx1"/>
            </w14:solidFill>
          </w14:textFill>
        </w:rPr>
        <w:t>08</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30-17</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w:t>
      </w:r>
      <w:r>
        <w:rPr>
          <w:rFonts w:hint="eastAsia" w:ascii="宋体" w:hAnsi="宋体" w:cs="Tahoma"/>
          <w:color w:val="000000" w:themeColor="text1"/>
          <w:kern w:val="28"/>
          <w14:textFill>
            <w14:solidFill>
              <w14:schemeClr w14:val="tx1"/>
            </w14:solidFill>
          </w14:textFill>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响应供应商自行到相关网站下载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w:t>
      </w:r>
      <w:r>
        <w:rPr>
          <w:rFonts w:hint="eastAsia"/>
          <w:b/>
          <w:bCs/>
          <w:color w:val="auto"/>
          <w:lang w:eastAsia="zh-CN"/>
        </w:rPr>
        <w:t>响应供应商</w:t>
      </w:r>
      <w:r>
        <w:rPr>
          <w:rFonts w:hint="eastAsia"/>
          <w:b/>
          <w:bCs/>
          <w:color w:val="auto"/>
        </w:rPr>
        <w:t>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4.3供应商应携带填写好的《报名表》并加盖供应商单位公章后，至罗定市儒良岗明月阁商住小区B101（广东盈信招标代理有限公司）进行购买，缴纳标书款后即为成功获取磋商文件。</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响应供应商</w:t>
      </w:r>
      <w:r>
        <w:rPr>
          <w:rFonts w:hint="eastAsia"/>
          <w:color w:val="auto"/>
        </w:rPr>
        <w:t>的报名。</w:t>
      </w:r>
    </w:p>
    <w:p>
      <w:pPr>
        <w:numPr>
          <w:ilvl w:val="0"/>
          <w:numId w:val="2"/>
        </w:numPr>
        <w:snapToGrid w:val="0"/>
        <w:spacing w:line="480" w:lineRule="exact"/>
        <w:rPr>
          <w:rFonts w:hint="eastAsia" w:ascii="宋体" w:hAnsi="宋体"/>
          <w:color w:val="auto"/>
        </w:rPr>
      </w:pP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已成功购买纸质磋商文件的供应商参加投标的，不代表通过资格性审查或符合性审查</w:t>
      </w:r>
      <w:r>
        <w:rPr>
          <w:rFonts w:hint="eastAsia"/>
          <w:b/>
          <w:bCs/>
          <w:color w:val="auto"/>
        </w:rPr>
        <w:t>，以上资料须放入</w:t>
      </w:r>
      <w:r>
        <w:rPr>
          <w:rFonts w:hint="eastAsia"/>
          <w:b/>
          <w:bCs/>
          <w:color w:val="auto"/>
          <w:lang w:eastAsia="zh-CN"/>
        </w:rPr>
        <w:t>响应文件</w:t>
      </w:r>
      <w:r>
        <w:rPr>
          <w:rFonts w:hint="eastAsia"/>
          <w:b/>
          <w:bCs/>
          <w:color w:val="auto"/>
        </w:rPr>
        <w:t>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、递交</w:t>
      </w:r>
      <w:r>
        <w:rPr>
          <w:rFonts w:hint="eastAsia" w:ascii="宋体" w:hAnsi="宋体" w:cs="Tahoma"/>
          <w:color w:val="auto"/>
          <w:lang w:eastAsia="zh-CN"/>
        </w:rPr>
        <w:t>响应文件</w:t>
      </w:r>
      <w:r>
        <w:rPr>
          <w:rFonts w:hint="eastAsia" w:ascii="宋体" w:hAnsi="宋体" w:cs="Tahoma"/>
          <w:color w:val="auto"/>
        </w:rPr>
        <w:t>时间：</w:t>
      </w:r>
      <w:r>
        <w:rPr>
          <w:rFonts w:hint="eastAsia" w:ascii="宋体" w:hAnsi="宋体" w:cs="Tahoma"/>
          <w:color w:val="auto"/>
          <w:lang w:val="en-US" w:eastAsia="zh-CN"/>
        </w:rPr>
        <w:t>2021</w:t>
      </w:r>
      <w:r>
        <w:rPr>
          <w:rFonts w:hint="eastAsia" w:ascii="宋体" w:hAnsi="宋体" w:cs="Tahoma"/>
          <w:color w:val="auto"/>
        </w:rPr>
        <w:t>年</w:t>
      </w:r>
      <w:r>
        <w:rPr>
          <w:rFonts w:hint="eastAsia" w:ascii="宋体" w:hAnsi="宋体" w:cs="Tahoma"/>
          <w:color w:val="auto"/>
          <w:lang w:val="en-US" w:eastAsia="zh-CN"/>
        </w:rPr>
        <w:t>1</w:t>
      </w:r>
      <w:r>
        <w:rPr>
          <w:rFonts w:hint="eastAsia" w:ascii="宋体" w:hAnsi="宋体" w:cs="Tahoma"/>
          <w:color w:val="auto"/>
        </w:rPr>
        <w:t>月</w:t>
      </w:r>
      <w:r>
        <w:rPr>
          <w:rFonts w:hint="eastAsia" w:ascii="宋体" w:hAnsi="宋体" w:cs="Tahoma"/>
          <w:color w:val="auto"/>
          <w:lang w:val="en-US" w:eastAsia="zh-CN"/>
        </w:rPr>
        <w:t>20</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hAnsi="宋体" w:cs="Tahoma"/>
          <w:color w:val="auto"/>
          <w:lang w:val="en-US" w:eastAsia="zh-CN"/>
        </w:rPr>
        <w:t>0</w:t>
      </w:r>
      <w:r>
        <w:rPr>
          <w:rFonts w:ascii="宋体" w:hAnsi="宋体" w:cs="Tahoma"/>
          <w:color w:val="auto"/>
        </w:rPr>
        <w:t>0-</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2</w:t>
      </w:r>
      <w:r>
        <w:rPr>
          <w:rFonts w:hint="eastAsia" w:ascii="宋体" w:hAnsi="宋体" w:cs="Tahoma"/>
          <w:color w:val="auto"/>
        </w:rPr>
        <w:t>、报价截止时间：</w:t>
      </w:r>
      <w:r>
        <w:rPr>
          <w:rFonts w:hint="eastAsia" w:ascii="宋体" w:hAnsi="宋体" w:cs="Tahoma"/>
          <w:color w:val="auto"/>
          <w:lang w:val="en-US" w:eastAsia="zh-CN"/>
        </w:rPr>
        <w:t>2021</w:t>
      </w:r>
      <w:r>
        <w:rPr>
          <w:rFonts w:hint="eastAsia" w:ascii="宋体" w:hAnsi="宋体" w:cs="Tahoma"/>
          <w:color w:val="auto"/>
        </w:rPr>
        <w:t>年</w:t>
      </w:r>
      <w:r>
        <w:rPr>
          <w:rFonts w:hint="eastAsia" w:ascii="宋体" w:hAnsi="宋体" w:cs="Tahoma"/>
          <w:color w:val="auto"/>
          <w:lang w:val="en-US" w:eastAsia="zh-CN"/>
        </w:rPr>
        <w:t>1</w:t>
      </w:r>
      <w:r>
        <w:rPr>
          <w:rFonts w:hint="eastAsia" w:ascii="宋体" w:hAnsi="宋体" w:cs="Tahoma"/>
          <w:color w:val="auto"/>
        </w:rPr>
        <w:t>月</w:t>
      </w:r>
      <w:r>
        <w:rPr>
          <w:rFonts w:hint="eastAsia" w:ascii="宋体" w:hAnsi="宋体" w:cs="Tahoma"/>
          <w:color w:val="auto"/>
          <w:lang w:val="en-US" w:eastAsia="zh-CN"/>
        </w:rPr>
        <w:t>20</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3</w:t>
      </w:r>
      <w:r>
        <w:rPr>
          <w:rFonts w:hint="eastAsia" w:ascii="宋体" w:hAnsi="宋体" w:cs="Tahoma"/>
          <w:color w:val="auto"/>
        </w:rPr>
        <w:t>、磋商时间：</w:t>
      </w:r>
      <w:r>
        <w:rPr>
          <w:rFonts w:hint="eastAsia" w:ascii="宋体" w:hAnsi="宋体" w:cs="Tahoma"/>
          <w:color w:val="auto"/>
          <w:lang w:val="en-US" w:eastAsia="zh-CN"/>
        </w:rPr>
        <w:t>2021</w:t>
      </w:r>
      <w:r>
        <w:rPr>
          <w:rFonts w:hint="eastAsia" w:ascii="宋体" w:hAnsi="宋体" w:cs="Tahoma"/>
          <w:color w:val="auto"/>
        </w:rPr>
        <w:t>年</w:t>
      </w:r>
      <w:r>
        <w:rPr>
          <w:rFonts w:hint="eastAsia" w:ascii="宋体" w:hAnsi="宋体" w:cs="Tahoma"/>
          <w:color w:val="auto"/>
          <w:lang w:val="en-US" w:eastAsia="zh-CN"/>
        </w:rPr>
        <w:t>1</w:t>
      </w:r>
      <w:r>
        <w:rPr>
          <w:rFonts w:hint="eastAsia" w:ascii="宋体" w:hAnsi="宋体" w:cs="Tahoma"/>
          <w:color w:val="auto"/>
        </w:rPr>
        <w:t>月</w:t>
      </w:r>
      <w:r>
        <w:rPr>
          <w:rFonts w:hint="eastAsia" w:ascii="宋体" w:hAnsi="宋体" w:cs="Tahoma"/>
          <w:color w:val="auto"/>
          <w:lang w:val="en-US" w:eastAsia="zh-CN"/>
        </w:rPr>
        <w:t>20</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14:textFill>
            <w14:solidFill>
              <w14:schemeClr w14:val="tx1"/>
            </w14:solidFill>
          </w14:textFill>
        </w:rPr>
        <w:t>4</w:t>
      </w:r>
      <w:r>
        <w:rPr>
          <w:rFonts w:hint="eastAsia" w:ascii="宋体" w:hAnsi="宋体" w:cs="Tahoma"/>
          <w:color w:val="000000" w:themeColor="text1"/>
          <w14:textFill>
            <w14:solidFill>
              <w14:schemeClr w14:val="tx1"/>
            </w14:solidFill>
          </w14:textFill>
        </w:rPr>
        <w:t>、磋商地点：</w:t>
      </w:r>
      <w:r>
        <w:rPr>
          <w:rFonts w:hint="eastAsia" w:ascii="宋体" w:hAnsi="宋体" w:cs="Tahoma"/>
          <w:color w:val="000000" w:themeColor="text1"/>
          <w:lang w:eastAsia="zh-CN"/>
          <w14:textFill>
            <w14:solidFill>
              <w14:schemeClr w14:val="tx1"/>
            </w14:solidFill>
          </w14:textFill>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w:t>
      </w:r>
      <w:r>
        <w:rPr>
          <w:rFonts w:hint="eastAsia" w:ascii="宋体" w:hAnsi="宋体"/>
          <w:color w:val="auto"/>
          <w:lang w:eastAsia="zh-CN"/>
        </w:rPr>
        <w:t>响应供应商</w:t>
      </w:r>
      <w:r>
        <w:rPr>
          <w:rFonts w:hint="eastAsia" w:ascii="宋体" w:hAnsi="宋体"/>
          <w:color w:val="auto"/>
        </w:rPr>
        <w:t>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val="en-US" w:eastAsia="zh-CN"/>
        </w:rPr>
        <w:t>云浮市生态环境局罗定分局</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采购人地址：</w:t>
      </w:r>
      <w:r>
        <w:rPr>
          <w:rFonts w:hint="eastAsia" w:ascii="宋体" w:hAnsi="宋体" w:cs="Tahoma"/>
          <w:color w:val="auto"/>
          <w:lang w:eastAsia="zh-CN"/>
        </w:rPr>
        <w:t>广东省罗定市兴华三路</w:t>
      </w:r>
      <w:r>
        <w:rPr>
          <w:rFonts w:hint="eastAsia" w:ascii="宋体" w:hAnsi="宋体" w:cs="Tahoma"/>
          <w:color w:val="auto"/>
          <w:lang w:val="en-US" w:eastAsia="zh-CN"/>
        </w:rPr>
        <w:t>84号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唐贤森</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采购代理机构联系电话：</w:t>
      </w:r>
      <w:r>
        <w:rPr>
          <w:rFonts w:ascii="宋体" w:hAnsi="宋体" w:cs="Tahoma"/>
          <w:color w:val="auto"/>
        </w:rPr>
        <w:t>0766-</w:t>
      </w:r>
      <w:r>
        <w:rPr>
          <w:rFonts w:hint="eastAsia" w:ascii="宋体" w:hAnsi="宋体" w:cs="Tahoma"/>
          <w:color w:val="auto"/>
          <w:lang w:val="en-US" w:eastAsia="zh-CN"/>
        </w:rPr>
        <w:t>3835653</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采购代理机构</w:t>
      </w:r>
      <w:r>
        <w:rPr>
          <w:rFonts w:hint="eastAsia" w:ascii="宋体" w:hAnsi="宋体" w:cs="Tahoma"/>
          <w:color w:val="auto"/>
          <w:lang w:eastAsia="zh-CN"/>
        </w:rPr>
        <w:t>邮箱</w:t>
      </w:r>
      <w:r>
        <w:rPr>
          <w:rFonts w:hint="eastAsia" w:ascii="宋体" w:hAnsi="宋体" w:cs="Tahoma"/>
          <w:color w:val="auto"/>
        </w:rPr>
        <w:t>：</w:t>
      </w:r>
      <w:r>
        <w:rPr>
          <w:rFonts w:hint="eastAsia" w:ascii="宋体" w:hAnsi="宋体" w:cs="Tahoma"/>
          <w:color w:val="auto"/>
          <w:lang w:val="en-US" w:eastAsia="zh-CN"/>
        </w:rPr>
        <w:t>gdyx006@126.com</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eastAsia" w:ascii="宋体" w:eastAsia="宋体" w:cs="Tahoma"/>
          <w:color w:val="auto"/>
          <w:lang w:eastAsia="zh-CN"/>
        </w:rPr>
      </w:pPr>
      <w:r>
        <w:rPr>
          <w:rFonts w:hint="eastAsia" w:ascii="宋体" w:hAnsi="宋体" w:cs="Tahoma"/>
          <w:color w:val="auto"/>
        </w:rPr>
        <w:t>采购项目联系人姓名：</w:t>
      </w:r>
      <w:r>
        <w:rPr>
          <w:rFonts w:hint="eastAsia" w:ascii="宋体" w:hAnsi="宋体" w:cs="Tahoma"/>
          <w:color w:val="auto"/>
          <w:lang w:val="en-US" w:eastAsia="zh-CN"/>
        </w:rPr>
        <w:t>唐贤森</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采购项目联系人电话：</w:t>
      </w:r>
      <w:r>
        <w:rPr>
          <w:rFonts w:ascii="宋体" w:hAnsi="宋体" w:cs="Tahoma"/>
          <w:color w:val="auto"/>
        </w:rPr>
        <w:t>0766-</w:t>
      </w:r>
      <w:r>
        <w:rPr>
          <w:rFonts w:hint="eastAsia" w:ascii="宋体" w:hAnsi="宋体" w:cs="Tahoma"/>
          <w:color w:val="auto"/>
          <w:lang w:val="en-US" w:eastAsia="zh-CN"/>
        </w:rPr>
        <w:t>3835653</w:t>
      </w:r>
    </w:p>
    <w:p>
      <w:pPr>
        <w:pStyle w:val="9"/>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w:t>
      </w:r>
      <w:r>
        <w:rPr>
          <w:rFonts w:hint="eastAsia" w:ascii="宋体" w:hAnsi="宋体"/>
          <w:color w:val="auto"/>
          <w:lang w:eastAsia="zh-CN"/>
        </w:rPr>
        <w:t>广东盈信招标代理有限公司</w:t>
      </w:r>
      <w:r>
        <w:rPr>
          <w:rFonts w:hint="eastAsia" w:ascii="宋体" w:hAnsi="宋体"/>
          <w:color w:val="auto"/>
        </w:rPr>
        <w:t>（http://www.ldyingxin.com）网站进行公示，由</w:t>
      </w:r>
      <w:r>
        <w:rPr>
          <w:rFonts w:hint="eastAsia" w:ascii="宋体" w:hAnsi="宋体"/>
          <w:color w:val="auto"/>
          <w:lang w:eastAsia="zh-CN"/>
        </w:rPr>
        <w:t>响应供应商</w:t>
      </w:r>
      <w:r>
        <w:rPr>
          <w:rFonts w:hint="eastAsia" w:ascii="宋体" w:hAnsi="宋体"/>
          <w:color w:val="auto"/>
        </w:rPr>
        <w:t>自行下载，公示期为自磋商文件公告之日后</w:t>
      </w:r>
      <w:r>
        <w:rPr>
          <w:rFonts w:hint="eastAsia" w:ascii="宋体" w:hAnsi="宋体"/>
          <w:color w:val="auto"/>
          <w:lang w:val="en-US" w:eastAsia="zh-CN"/>
        </w:rPr>
        <w:t>3个工作</w:t>
      </w:r>
      <w:r>
        <w:rPr>
          <w:rFonts w:hint="eastAsia" w:ascii="宋体" w:hAnsi="宋体"/>
          <w:color w:val="000000" w:themeColor="text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公告期限自</w:t>
      </w:r>
      <w:r>
        <w:rPr>
          <w:rFonts w:hint="eastAsia" w:ascii="宋体" w:hAnsi="宋体"/>
          <w:color w:val="000000" w:themeColor="text1"/>
          <w:lang w:val="en-US" w:eastAsia="zh-CN"/>
          <w14:textFill>
            <w14:solidFill>
              <w14:schemeClr w14:val="tx1"/>
            </w14:solidFill>
          </w14:textFill>
        </w:rPr>
        <w:t>2021</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日至</w:t>
      </w:r>
      <w:r>
        <w:rPr>
          <w:rFonts w:hint="eastAsia" w:ascii="宋体" w:hAnsi="宋体"/>
          <w:color w:val="000000" w:themeColor="text1"/>
          <w:lang w:val="en-US" w:eastAsia="zh-CN"/>
          <w14:textFill>
            <w14:solidFill>
              <w14:schemeClr w14:val="tx1"/>
            </w14:solidFill>
          </w14:textFill>
        </w:rPr>
        <w:t>2020</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14:textFill>
            <w14:solidFill>
              <w14:schemeClr w14:val="tx1"/>
            </w14:solidFill>
          </w14:textFill>
        </w:rPr>
        <w:t>日止）。</w:t>
      </w:r>
    </w:p>
    <w:p>
      <w:pPr>
        <w:tabs>
          <w:tab w:val="left" w:pos="4680"/>
        </w:tabs>
        <w:snapToGrid w:val="0"/>
        <w:spacing w:line="480" w:lineRule="exact"/>
        <w:ind w:left="200"/>
        <w:jc w:val="right"/>
        <w:rPr>
          <w:rFonts w:ascii="宋体" w:cs="Tahoma"/>
          <w:color w:val="auto"/>
        </w:rPr>
      </w:pP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hint="eastAsia" w:ascii="宋体" w:hAnsi="宋体" w:cs="Tahoma"/>
          <w:color w:val="auto"/>
          <w:lang w:val="en-US" w:eastAsia="zh-CN"/>
        </w:rPr>
        <w:t>2021</w:t>
      </w:r>
      <w:r>
        <w:rPr>
          <w:rFonts w:hint="eastAsia" w:ascii="宋体" w:hAnsi="宋体" w:cs="Tahoma"/>
          <w:color w:val="auto"/>
        </w:rPr>
        <w:t>年</w:t>
      </w:r>
      <w:r>
        <w:rPr>
          <w:rFonts w:hint="eastAsia" w:ascii="宋体" w:hAnsi="宋体" w:cs="Tahoma"/>
          <w:color w:val="auto"/>
          <w:lang w:val="en-US" w:eastAsia="zh-CN"/>
        </w:rPr>
        <w:t>1</w:t>
      </w:r>
      <w:r>
        <w:rPr>
          <w:rFonts w:hint="eastAsia" w:ascii="宋体" w:hAnsi="宋体" w:cs="Tahoma"/>
          <w:color w:val="auto"/>
        </w:rPr>
        <w:t>月</w:t>
      </w:r>
      <w:r>
        <w:rPr>
          <w:rFonts w:hint="eastAsia" w:ascii="宋体" w:hAnsi="宋体" w:cs="Tahoma"/>
          <w:color w:val="auto"/>
          <w:lang w:val="en-US" w:eastAsia="zh-CN"/>
        </w:rPr>
        <w:t>7</w:t>
      </w:r>
      <w:r>
        <w:rPr>
          <w:rFonts w:hint="eastAsia" w:ascii="宋体" w:hAnsi="宋体" w:cs="Tahoma"/>
          <w:color w:val="auto"/>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pStyle w:val="3"/>
        <w:bidi w:val="0"/>
        <w:jc w:val="both"/>
      </w:pPr>
    </w:p>
    <w:p>
      <w:pPr>
        <w:pStyle w:val="3"/>
        <w:bidi w:val="0"/>
        <w:jc w:val="center"/>
      </w:pPr>
      <w:r>
        <w:rPr>
          <w:rFonts w:hint="eastAsia"/>
        </w:rPr>
        <w:t>第二部分</w:t>
      </w:r>
    </w:p>
    <w:p>
      <w:pPr>
        <w:pStyle w:val="3"/>
        <w:bidi w:val="0"/>
        <w:jc w:val="center"/>
      </w:pPr>
      <w:r>
        <w:rPr>
          <w:rFonts w:hint="eastAsia"/>
          <w:lang w:val="en-US" w:eastAsia="zh-CN"/>
        </w:rPr>
        <w:t xml:space="preserve">磋 </w:t>
      </w:r>
      <w:r>
        <w:rPr>
          <w:rFonts w:hint="eastAsia"/>
          <w:lang w:eastAsia="zh-CN"/>
        </w:rPr>
        <w:t>商</w:t>
      </w:r>
      <w:r>
        <w:rPr>
          <w:rFonts w:hint="eastAsia"/>
        </w:rPr>
        <w:t xml:space="preserve"> 须</w:t>
      </w:r>
      <w:r>
        <w:t xml:space="preserve"> </w:t>
      </w:r>
      <w:r>
        <w:rPr>
          <w:rFonts w:hint="eastAsia"/>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3"/>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资金来源：财政资金。</w:t>
      </w:r>
    </w:p>
    <w:p>
      <w:pPr>
        <w:pStyle w:val="5"/>
        <w:spacing w:before="60"/>
        <w:rPr>
          <w:rFonts w:hAnsi="宋体"/>
          <w:color w:val="auto"/>
          <w:szCs w:val="21"/>
        </w:rPr>
      </w:pPr>
    </w:p>
    <w:p>
      <w:pPr>
        <w:pStyle w:val="4"/>
        <w:numPr>
          <w:ilvl w:val="0"/>
          <w:numId w:val="3"/>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w:t>
      </w:r>
      <w:r>
        <w:rPr>
          <w:rFonts w:hint="eastAsia"/>
          <w:color w:val="auto"/>
          <w:lang w:eastAsia="zh-CN"/>
        </w:rPr>
        <w:t>响应供应商</w:t>
      </w:r>
      <w:r>
        <w:rPr>
          <w:rFonts w:hint="eastAsia"/>
          <w:color w:val="auto"/>
        </w:rPr>
        <w:t>”指响应磋商并且符合竞争性磋商文件规定资格条件和参加磋商竞争的法人、其他组织或者</w:t>
      </w:r>
      <w:r>
        <w:rPr>
          <w:rFonts w:hint="eastAsia"/>
          <w:color w:val="auto"/>
          <w:lang w:eastAsia="zh-CN"/>
        </w:rPr>
        <w:t>自然人</w:t>
      </w:r>
      <w:r>
        <w:rPr>
          <w:rFonts w:hint="eastAsia"/>
          <w:color w:val="auto"/>
        </w:rPr>
        <w:t>。</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w:t>
      </w:r>
      <w:r>
        <w:rPr>
          <w:rFonts w:hint="eastAsia" w:hAnsi="宋体"/>
          <w:color w:val="auto"/>
          <w:lang w:eastAsia="zh-CN"/>
        </w:rPr>
        <w:t>响应供应商</w:t>
      </w:r>
      <w:r>
        <w:rPr>
          <w:rFonts w:hint="eastAsia" w:hAnsi="宋体"/>
          <w:color w:val="auto"/>
        </w:rPr>
        <w:t>。</w:t>
      </w:r>
    </w:p>
    <w:p>
      <w:pPr>
        <w:pStyle w:val="5"/>
        <w:numPr>
          <w:ilvl w:val="1"/>
          <w:numId w:val="1"/>
        </w:numPr>
        <w:spacing w:before="60"/>
        <w:rPr>
          <w:color w:val="auto"/>
        </w:rPr>
      </w:pPr>
      <w:r>
        <w:rPr>
          <w:rFonts w:hint="eastAsia"/>
          <w:color w:val="auto"/>
        </w:rPr>
        <w:t>“货物”指</w:t>
      </w:r>
      <w:r>
        <w:rPr>
          <w:rFonts w:hint="eastAsia"/>
          <w:color w:val="auto"/>
          <w:lang w:eastAsia="zh-CN"/>
        </w:rPr>
        <w:t>响应供应商</w:t>
      </w:r>
      <w:r>
        <w:rPr>
          <w:rFonts w:hint="eastAsia"/>
          <w:color w:val="auto"/>
        </w:rPr>
        <w:t>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w:t>
      </w:r>
      <w:r>
        <w:rPr>
          <w:rFonts w:hint="eastAsia"/>
          <w:color w:val="auto"/>
          <w:lang w:eastAsia="zh-CN"/>
        </w:rPr>
        <w:t>响应供应商</w:t>
      </w:r>
      <w:r>
        <w:rPr>
          <w:rFonts w:hint="eastAsia"/>
          <w:color w:val="auto"/>
        </w:rPr>
        <w:t>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3"/>
        </w:numPr>
        <w:tabs>
          <w:tab w:val="clear" w:pos="420"/>
        </w:tabs>
        <w:spacing w:beforeLines="0" w:afterLines="0" w:line="360" w:lineRule="auto"/>
        <w:rPr>
          <w:color w:val="auto"/>
        </w:rPr>
      </w:pPr>
      <w:r>
        <w:rPr>
          <w:rFonts w:hint="eastAsia"/>
          <w:color w:val="auto"/>
        </w:rPr>
        <w:t>合格的</w:t>
      </w:r>
      <w:r>
        <w:rPr>
          <w:rFonts w:hint="eastAsia"/>
          <w:color w:val="auto"/>
          <w:lang w:eastAsia="zh-CN"/>
        </w:rPr>
        <w:t>响应供应商</w:t>
      </w:r>
    </w:p>
    <w:p>
      <w:pPr>
        <w:pStyle w:val="5"/>
        <w:numPr>
          <w:ilvl w:val="0"/>
          <w:numId w:val="0"/>
        </w:numPr>
        <w:spacing w:before="60"/>
        <w:ind w:leftChars="0"/>
        <w:rPr>
          <w:rFonts w:hint="eastAsia"/>
          <w:color w:val="auto"/>
          <w:lang w:val="en-US" w:eastAsia="zh-CN"/>
        </w:rPr>
      </w:pPr>
      <w:bookmarkStart w:id="2" w:name="_Toc61460073"/>
      <w:r>
        <w:rPr>
          <w:rFonts w:hint="eastAsia"/>
          <w:color w:val="auto"/>
          <w:lang w:val="en-US" w:eastAsia="zh-CN"/>
        </w:rPr>
        <w:t>3.1、供应商应具备《政府采购法》第二十二条规定的条件。</w:t>
      </w:r>
    </w:p>
    <w:p>
      <w:pPr>
        <w:pStyle w:val="5"/>
        <w:numPr>
          <w:ilvl w:val="0"/>
          <w:numId w:val="0"/>
        </w:numPr>
        <w:spacing w:before="60"/>
        <w:ind w:leftChars="0" w:firstLine="420" w:firstLineChars="200"/>
        <w:rPr>
          <w:rFonts w:hint="eastAsia"/>
          <w:color w:val="auto"/>
          <w:lang w:val="en-US" w:eastAsia="zh-CN"/>
        </w:rPr>
      </w:pPr>
      <w:r>
        <w:rPr>
          <w:rFonts w:hint="eastAsia"/>
          <w:color w:val="auto"/>
          <w:lang w:val="en-US" w:eastAsia="zh-CN"/>
        </w:rPr>
        <w:t>1) 供应商必须是具有独立承担民事责任能力的在中华人民共和国境内注册的法人或其他组织，提交法人或者其他组织的营业执照等证明文件。</w:t>
      </w:r>
    </w:p>
    <w:p>
      <w:pPr>
        <w:pStyle w:val="5"/>
        <w:numPr>
          <w:ilvl w:val="0"/>
          <w:numId w:val="0"/>
        </w:numPr>
        <w:spacing w:before="60"/>
        <w:ind w:leftChars="0" w:firstLine="420" w:firstLineChars="200"/>
        <w:rPr>
          <w:rFonts w:hint="eastAsia"/>
          <w:color w:val="auto"/>
          <w:lang w:val="en-US" w:eastAsia="zh-CN"/>
        </w:rPr>
      </w:pPr>
      <w:r>
        <w:rPr>
          <w:rFonts w:hint="eastAsia"/>
          <w:color w:val="auto"/>
          <w:lang w:val="en-US" w:eastAsia="zh-CN"/>
        </w:rPr>
        <w:t>2) 提供2019年度财务状况报告或2020年任意1个月的财务状况报告复印件，或银行出具的资信证明材料复印件。</w:t>
      </w:r>
    </w:p>
    <w:p>
      <w:pPr>
        <w:pStyle w:val="5"/>
        <w:numPr>
          <w:ilvl w:val="0"/>
          <w:numId w:val="0"/>
        </w:numPr>
        <w:spacing w:before="60"/>
        <w:ind w:leftChars="0" w:firstLine="420" w:firstLineChars="200"/>
        <w:rPr>
          <w:rFonts w:hint="eastAsia"/>
          <w:color w:val="auto"/>
          <w:lang w:val="en-US" w:eastAsia="zh-CN"/>
        </w:rPr>
      </w:pPr>
      <w:r>
        <w:rPr>
          <w:rFonts w:hint="eastAsia"/>
          <w:color w:val="auto"/>
          <w:lang w:val="en-US" w:eastAsia="zh-CN"/>
        </w:rPr>
        <w:t>3) 提供2020年任意1个月缴纳税收和社会保险的凭据证明材料复印件；如依法免税或不需要缴纳社会保障资金的，应提供相应文件证明。</w:t>
      </w:r>
    </w:p>
    <w:p>
      <w:pPr>
        <w:pStyle w:val="5"/>
        <w:numPr>
          <w:ilvl w:val="0"/>
          <w:numId w:val="0"/>
        </w:numPr>
        <w:spacing w:before="60"/>
        <w:ind w:leftChars="0" w:firstLine="420" w:firstLineChars="200"/>
        <w:rPr>
          <w:rFonts w:hint="eastAsia"/>
          <w:color w:val="auto"/>
          <w:lang w:val="en-US" w:eastAsia="zh-CN"/>
        </w:rPr>
      </w:pPr>
      <w:r>
        <w:rPr>
          <w:rFonts w:hint="eastAsia"/>
          <w:color w:val="auto"/>
          <w:lang w:val="en-US" w:eastAsia="zh-CN"/>
        </w:rPr>
        <w:t>4) 提供履行合同所必需的设备和专业技术能力的书面声明（提供《响应供应商资格声明函》）。</w:t>
      </w:r>
    </w:p>
    <w:p>
      <w:pPr>
        <w:pStyle w:val="5"/>
        <w:numPr>
          <w:ilvl w:val="0"/>
          <w:numId w:val="0"/>
        </w:numPr>
        <w:spacing w:before="60"/>
        <w:ind w:leftChars="0" w:firstLine="420" w:firstLineChars="200"/>
        <w:rPr>
          <w:rFonts w:hint="eastAsia"/>
          <w:color w:val="auto"/>
          <w:lang w:val="en-US" w:eastAsia="zh-CN"/>
        </w:rPr>
      </w:pPr>
      <w:r>
        <w:rPr>
          <w:rFonts w:hint="eastAsia"/>
          <w:color w:val="auto"/>
          <w:lang w:val="en-US" w:eastAsia="zh-CN"/>
        </w:rPr>
        <w:t>5) 提供参加政府采购活动前3年内在经营活动中没有重大违法记录的书面声明；（提供《响应供应商资格声明函》）。</w:t>
      </w:r>
    </w:p>
    <w:p>
      <w:pPr>
        <w:pStyle w:val="5"/>
        <w:numPr>
          <w:ilvl w:val="0"/>
          <w:numId w:val="0"/>
        </w:numPr>
        <w:spacing w:before="60"/>
        <w:ind w:leftChars="0"/>
        <w:rPr>
          <w:rFonts w:hint="eastAsia"/>
          <w:color w:val="auto"/>
          <w:lang w:val="en-US" w:eastAsia="zh-CN"/>
        </w:rPr>
      </w:pPr>
      <w:r>
        <w:rPr>
          <w:rFonts w:hint="eastAsia"/>
          <w:color w:val="auto"/>
          <w:lang w:val="en-US" w:eastAsia="zh-CN"/>
        </w:rPr>
        <w:t>3.2、投标供应商具有独立承担民事责任能力的在中华人民共和国境内注册的法人或其他组织，具有从事本项目的经营范围。</w:t>
      </w:r>
    </w:p>
    <w:p>
      <w:pPr>
        <w:pStyle w:val="5"/>
        <w:numPr>
          <w:ilvl w:val="0"/>
          <w:numId w:val="0"/>
        </w:numPr>
        <w:spacing w:before="60"/>
        <w:ind w:leftChars="0"/>
        <w:rPr>
          <w:rFonts w:hint="eastAsia"/>
          <w:color w:val="auto"/>
          <w:lang w:val="en-US" w:eastAsia="zh-CN"/>
        </w:rPr>
      </w:pPr>
      <w:r>
        <w:rPr>
          <w:rFonts w:hint="eastAsia"/>
          <w:color w:val="auto"/>
          <w:lang w:val="en-US" w:eastAsia="zh-CN"/>
        </w:rPr>
        <w:t>3.3、投标供应商未被列入“信用中国”网站(www.creditchina.gov.cn )“记录失信被执行人或重大税收 违法案件当事人名单或政府采购严重违法失信行为”记录名单；不处于中国政府采购网 (www.ccgp.gov.cn)“政府采购严重违法失信行为信息记录”中的禁止参加政府采购活动期间。【在“信用中国”网站（www.creditchina.gov.cn）及中国政府采购网(www.ccgp.gov.cn )查询结果以投标提供截图并加盖公章为准，如相关失信记录已失效，投标需提供相关证明资料。查询有效期为自本项目采购公告发出之日起至递交投标文件截止时间止】。</w:t>
      </w:r>
    </w:p>
    <w:p>
      <w:pPr>
        <w:pStyle w:val="5"/>
        <w:numPr>
          <w:ilvl w:val="0"/>
          <w:numId w:val="0"/>
        </w:numPr>
        <w:spacing w:before="60"/>
        <w:ind w:leftChars="0"/>
        <w:rPr>
          <w:rFonts w:hint="eastAsia"/>
          <w:color w:val="auto"/>
          <w:lang w:val="en-US" w:eastAsia="zh-CN"/>
        </w:rPr>
      </w:pPr>
      <w:r>
        <w:rPr>
          <w:rFonts w:hint="eastAsia"/>
          <w:color w:val="auto"/>
          <w:lang w:val="en-US" w:eastAsia="zh-CN"/>
        </w:rPr>
        <w:t>3.4、 为采购项目提供整体设计、规范编制或者项目管理、监理、检测等服务的供应商，不得再参加该采购项目的其他采购活动。（提供《响应供应商资格声明函》）</w:t>
      </w:r>
    </w:p>
    <w:p>
      <w:pPr>
        <w:pStyle w:val="5"/>
        <w:numPr>
          <w:ilvl w:val="0"/>
          <w:numId w:val="0"/>
        </w:numPr>
        <w:spacing w:before="60"/>
        <w:ind w:leftChars="0"/>
        <w:rPr>
          <w:rFonts w:hint="eastAsia"/>
          <w:color w:val="auto"/>
          <w:lang w:val="en-US" w:eastAsia="zh-CN"/>
        </w:rPr>
      </w:pPr>
      <w:r>
        <w:rPr>
          <w:rFonts w:hint="eastAsia"/>
          <w:color w:val="auto"/>
          <w:lang w:val="en-US" w:eastAsia="zh-CN"/>
        </w:rPr>
        <w:t>3.5、单位负责人为同一人或者存在直接控股、管理关系的不同供应商，不得参加同一合同项下的政府采购活动。（提供《响应供应商资格声明函》）。</w:t>
      </w:r>
    </w:p>
    <w:p>
      <w:pPr>
        <w:rPr>
          <w:rFonts w:hint="default"/>
          <w:lang w:val="en-US" w:eastAsia="zh-CN"/>
        </w:rPr>
      </w:pPr>
      <w:r>
        <w:rPr>
          <w:rFonts w:hint="eastAsia"/>
          <w:color w:val="auto"/>
          <w:lang w:val="en-US" w:eastAsia="zh-CN"/>
        </w:rPr>
        <w:t>3.6、本项目不接受联合体投标，不允许转包和分包。</w:t>
      </w:r>
    </w:p>
    <w:p>
      <w:pPr>
        <w:pStyle w:val="3"/>
        <w:widowControl w:val="0"/>
        <w:tabs>
          <w:tab w:val="left" w:pos="840"/>
        </w:tabs>
        <w:adjustRightInd w:val="0"/>
        <w:snapToGrid w:val="0"/>
        <w:spacing w:before="240" w:afterLines="50" w:line="360" w:lineRule="auto"/>
        <w:jc w:val="both"/>
        <w:rPr>
          <w:rFonts w:hint="eastAsia" w:ascii="宋体" w:hAnsi="Times New Roman" w:eastAsia="宋体" w:cs="Times New Roman"/>
          <w:b w:val="0"/>
          <w:bCs w:val="0"/>
          <w:color w:val="auto"/>
          <w:kern w:val="0"/>
          <w:sz w:val="21"/>
          <w:szCs w:val="20"/>
          <w:lang w:val="en-US" w:eastAsia="zh-CN" w:bidi="ar-SA"/>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4"/>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4"/>
        </w:numPr>
        <w:spacing w:before="60" w:line="360" w:lineRule="auto"/>
        <w:rPr>
          <w:rFonts w:ascii="宋体"/>
          <w:color w:val="auto"/>
          <w:szCs w:val="21"/>
        </w:rPr>
      </w:pPr>
      <w:r>
        <w:rPr>
          <w:rFonts w:hint="eastAsia" w:ascii="宋体" w:hAnsi="宋体"/>
          <w:color w:val="auto"/>
          <w:szCs w:val="21"/>
          <w:lang w:eastAsia="zh-CN"/>
        </w:rPr>
        <w:t>磋商</w:t>
      </w:r>
      <w:r>
        <w:rPr>
          <w:rFonts w:hint="eastAsia" w:ascii="宋体" w:hAnsi="宋体"/>
          <w:color w:val="auto"/>
          <w:szCs w:val="21"/>
        </w:rPr>
        <w:t>须知；</w:t>
      </w:r>
    </w:p>
    <w:p>
      <w:pPr>
        <w:widowControl w:val="0"/>
        <w:numPr>
          <w:ilvl w:val="0"/>
          <w:numId w:val="4"/>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4"/>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4"/>
        </w:numPr>
        <w:spacing w:before="60" w:line="360" w:lineRule="auto"/>
        <w:rPr>
          <w:rFonts w:ascii="宋体"/>
          <w:color w:val="auto"/>
          <w:szCs w:val="21"/>
        </w:rPr>
      </w:pPr>
      <w:r>
        <w:rPr>
          <w:rFonts w:hint="eastAsia" w:ascii="宋体" w:hAnsi="宋体"/>
          <w:color w:val="auto"/>
          <w:szCs w:val="21"/>
          <w:lang w:eastAsia="zh-CN"/>
        </w:rPr>
        <w:t>响应文件</w:t>
      </w:r>
      <w:r>
        <w:rPr>
          <w:rFonts w:hint="eastAsia" w:ascii="宋体" w:hAnsi="宋体"/>
          <w:color w:val="auto"/>
          <w:szCs w:val="21"/>
        </w:rPr>
        <w:t>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5"/>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w:t>
      </w:r>
      <w:r>
        <w:rPr>
          <w:rFonts w:hint="eastAsia" w:ascii="宋体" w:hAnsi="宋体"/>
          <w:color w:val="auto"/>
          <w:szCs w:val="21"/>
          <w:lang w:eastAsia="zh-CN"/>
        </w:rPr>
        <w:t>响应供应商</w:t>
      </w:r>
      <w:r>
        <w:rPr>
          <w:rFonts w:hint="eastAsia" w:ascii="宋体" w:hAnsi="宋体"/>
          <w:color w:val="auto"/>
          <w:szCs w:val="21"/>
        </w:rPr>
        <w:t>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w:t>
      </w:r>
      <w:r>
        <w:rPr>
          <w:rFonts w:hint="eastAsia" w:ascii="宋体" w:hAnsi="宋体"/>
          <w:color w:val="auto"/>
          <w:szCs w:val="21"/>
          <w:lang w:eastAsia="zh-CN"/>
        </w:rPr>
        <w:t>响应供应商</w:t>
      </w:r>
      <w:r>
        <w:rPr>
          <w:rFonts w:hint="eastAsia" w:ascii="宋体" w:hAnsi="宋体"/>
          <w:color w:val="auto"/>
          <w:szCs w:val="21"/>
        </w:rPr>
        <w:t>。该澄清答复将视为本文件的组成部分。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w:t>
      </w:r>
      <w:r>
        <w:rPr>
          <w:rFonts w:hint="eastAsia" w:ascii="宋体" w:hAnsi="宋体"/>
          <w:color w:val="auto"/>
          <w:szCs w:val="21"/>
          <w:lang w:eastAsia="zh-CN"/>
        </w:rPr>
        <w:t>响应供应商</w:t>
      </w:r>
      <w:r>
        <w:rPr>
          <w:rFonts w:hint="eastAsia" w:ascii="宋体" w:hAnsi="宋体"/>
          <w:color w:val="auto"/>
          <w:szCs w:val="21"/>
        </w:rPr>
        <w:t>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w:t>
      </w:r>
      <w:r>
        <w:rPr>
          <w:rFonts w:hint="eastAsia" w:ascii="宋体" w:hAnsi="宋体"/>
          <w:color w:val="auto"/>
          <w:szCs w:val="21"/>
          <w:lang w:eastAsia="zh-CN"/>
        </w:rPr>
        <w:t>响应供应商</w:t>
      </w:r>
      <w:r>
        <w:rPr>
          <w:rFonts w:hint="eastAsia" w:ascii="宋体" w:hAnsi="宋体"/>
          <w:color w:val="auto"/>
          <w:szCs w:val="21"/>
        </w:rPr>
        <w:t>。若</w:t>
      </w:r>
      <w:r>
        <w:rPr>
          <w:rFonts w:hint="eastAsia" w:ascii="宋体" w:hAnsi="宋体"/>
          <w:color w:val="auto"/>
          <w:szCs w:val="21"/>
          <w:lang w:eastAsia="zh-CN"/>
        </w:rPr>
        <w:t>响应供应商</w:t>
      </w:r>
      <w:r>
        <w:rPr>
          <w:rFonts w:hint="eastAsia" w:ascii="宋体" w:hAnsi="宋体"/>
          <w:color w:val="auto"/>
          <w:szCs w:val="21"/>
        </w:rPr>
        <w:t>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hint="eastAsia" w:ascii="宋体" w:eastAsia="宋体"/>
          <w:bCs w:val="0"/>
          <w:color w:val="auto"/>
          <w:kern w:val="2"/>
          <w:sz w:val="32"/>
          <w:szCs w:val="32"/>
          <w:lang w:eastAsia="zh-CN"/>
        </w:rPr>
      </w:pPr>
      <w:r>
        <w:rPr>
          <w:rFonts w:hint="eastAsia" w:ascii="宋体"/>
          <w:bCs w:val="0"/>
          <w:color w:val="auto"/>
          <w:kern w:val="2"/>
          <w:sz w:val="32"/>
          <w:szCs w:val="32"/>
        </w:rPr>
        <w:t>三、</w:t>
      </w:r>
      <w:r>
        <w:rPr>
          <w:rFonts w:hint="eastAsia" w:ascii="宋体"/>
          <w:bCs w:val="0"/>
          <w:color w:val="auto"/>
          <w:kern w:val="2"/>
          <w:sz w:val="32"/>
          <w:szCs w:val="32"/>
          <w:lang w:eastAsia="zh-CN"/>
        </w:rPr>
        <w:t>响应文件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lang w:eastAsia="zh-CN"/>
        </w:rPr>
        <w:t>响应文件</w:t>
      </w:r>
      <w:r>
        <w:rPr>
          <w:rFonts w:hint="eastAsia" w:ascii="宋体" w:hAnsi="宋体"/>
          <w:b/>
          <w:color w:val="auto"/>
          <w:sz w:val="24"/>
        </w:rPr>
        <w:t>的编写</w:t>
      </w:r>
    </w:p>
    <w:p>
      <w:pPr>
        <w:widowControl w:val="0"/>
        <w:numPr>
          <w:ilvl w:val="0"/>
          <w:numId w:val="6"/>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lang w:eastAsia="zh-CN"/>
        </w:rPr>
        <w:t>响应供应商</w:t>
      </w:r>
      <w:r>
        <w:rPr>
          <w:rFonts w:hint="eastAsia" w:ascii="宋体" w:hAnsi="宋体"/>
          <w:color w:val="auto"/>
          <w:szCs w:val="21"/>
        </w:rPr>
        <w:t>应仔细阅读磋商文件的所有内容，并按其规定的内容和格式，提交完整的</w:t>
      </w:r>
      <w:r>
        <w:rPr>
          <w:rFonts w:hint="eastAsia" w:ascii="宋体" w:hAnsi="宋体"/>
          <w:color w:val="auto"/>
          <w:szCs w:val="21"/>
          <w:lang w:eastAsia="zh-CN"/>
        </w:rPr>
        <w:t>响应文件</w:t>
      </w:r>
      <w:r>
        <w:rPr>
          <w:rFonts w:hint="eastAsia" w:ascii="宋体" w:hAnsi="宋体"/>
          <w:color w:val="auto"/>
          <w:szCs w:val="21"/>
        </w:rPr>
        <w:t>。</w:t>
      </w:r>
    </w:p>
    <w:p>
      <w:pPr>
        <w:widowControl w:val="0"/>
        <w:numPr>
          <w:ilvl w:val="0"/>
          <w:numId w:val="6"/>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lang w:eastAsia="zh-CN"/>
        </w:rPr>
        <w:t>响应文件</w:t>
      </w:r>
      <w:r>
        <w:rPr>
          <w:rFonts w:hint="eastAsia" w:ascii="宋体" w:hAnsi="宋体"/>
          <w:color w:val="auto"/>
          <w:szCs w:val="21"/>
        </w:rPr>
        <w:t>和来往函件应用中文书写，计量单位应使用中华人民国法定计量单位。（除非磋商文件中另有规定）</w:t>
      </w:r>
    </w:p>
    <w:p>
      <w:pPr>
        <w:widowControl w:val="0"/>
        <w:numPr>
          <w:ilvl w:val="0"/>
          <w:numId w:val="6"/>
        </w:numPr>
        <w:tabs>
          <w:tab w:val="left" w:pos="735"/>
        </w:tabs>
        <w:spacing w:before="60" w:line="360" w:lineRule="auto"/>
        <w:ind w:left="720"/>
        <w:rPr>
          <w:rFonts w:ascii="宋体"/>
          <w:color w:val="auto"/>
          <w:szCs w:val="21"/>
        </w:rPr>
      </w:pPr>
      <w:r>
        <w:rPr>
          <w:rFonts w:hint="eastAsia" w:ascii="宋体" w:hAnsi="宋体"/>
          <w:color w:val="auto"/>
          <w:szCs w:val="21"/>
          <w:lang w:eastAsia="zh-CN"/>
        </w:rPr>
        <w:t>响应供应商</w:t>
      </w:r>
      <w:r>
        <w:rPr>
          <w:rFonts w:hint="eastAsia" w:ascii="宋体" w:hAnsi="宋体"/>
          <w:color w:val="auto"/>
          <w:szCs w:val="21"/>
        </w:rPr>
        <w:t>应按磋商文件要求的报价范围进行报价。</w:t>
      </w:r>
    </w:p>
    <w:p>
      <w:pPr>
        <w:widowControl w:val="0"/>
        <w:numPr>
          <w:ilvl w:val="0"/>
          <w:numId w:val="6"/>
        </w:numPr>
        <w:tabs>
          <w:tab w:val="left" w:pos="735"/>
          <w:tab w:val="left" w:pos="900"/>
        </w:tabs>
        <w:spacing w:before="60" w:line="360" w:lineRule="auto"/>
        <w:ind w:left="720"/>
        <w:rPr>
          <w:rFonts w:ascii="宋体"/>
          <w:color w:val="auto"/>
          <w:szCs w:val="21"/>
        </w:rPr>
      </w:pPr>
      <w:r>
        <w:rPr>
          <w:rFonts w:hint="eastAsia" w:ascii="宋体" w:hAnsi="宋体"/>
          <w:color w:val="auto"/>
          <w:szCs w:val="21"/>
          <w:lang w:eastAsia="zh-CN"/>
        </w:rPr>
        <w:t>响应供应商</w:t>
      </w:r>
      <w:r>
        <w:rPr>
          <w:rFonts w:hint="eastAsia" w:ascii="宋体" w:hAnsi="宋体"/>
          <w:color w:val="auto"/>
          <w:szCs w:val="21"/>
        </w:rPr>
        <w:t>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lang w:eastAsia="zh-CN"/>
        </w:rPr>
        <w:t>响应文件</w:t>
      </w:r>
      <w:r>
        <w:rPr>
          <w:rFonts w:hint="eastAsia" w:ascii="宋体" w:hAnsi="宋体"/>
          <w:b/>
          <w:color w:val="auto"/>
          <w:sz w:val="24"/>
        </w:rPr>
        <w:t>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w:t>
      </w:r>
      <w:r>
        <w:rPr>
          <w:rFonts w:hint="eastAsia" w:ascii="宋体" w:hAnsi="宋体"/>
          <w:color w:val="auto"/>
          <w:szCs w:val="21"/>
          <w:lang w:eastAsia="zh-CN"/>
        </w:rPr>
        <w:t>响应文件</w:t>
      </w:r>
      <w:r>
        <w:rPr>
          <w:rFonts w:hint="eastAsia" w:ascii="宋体" w:hAnsi="宋体"/>
          <w:color w:val="auto"/>
          <w:szCs w:val="21"/>
        </w:rPr>
        <w:t>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w:t>
      </w:r>
      <w:r>
        <w:rPr>
          <w:rFonts w:hint="eastAsia" w:ascii="宋体" w:hAnsi="宋体"/>
          <w:color w:val="auto"/>
          <w:szCs w:val="21"/>
          <w:lang w:eastAsia="zh-CN"/>
        </w:rPr>
        <w:t>响应文件</w:t>
      </w:r>
      <w:r>
        <w:rPr>
          <w:rFonts w:hint="eastAsia" w:ascii="宋体" w:hAnsi="宋体"/>
          <w:color w:val="auto"/>
          <w:szCs w:val="21"/>
        </w:rPr>
        <w:t>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lang w:eastAsia="zh-CN"/>
        </w:rPr>
        <w:t>技术</w:t>
      </w:r>
      <w:r>
        <w:rPr>
          <w:rFonts w:hint="eastAsia" w:ascii="宋体" w:hAnsi="宋体"/>
          <w:color w:val="auto"/>
          <w:szCs w:val="21"/>
        </w:rPr>
        <w:t>响应文件（参见磋商文件第五部分</w:t>
      </w:r>
      <w:r>
        <w:rPr>
          <w:rFonts w:hint="eastAsia" w:ascii="宋体" w:hAnsi="宋体"/>
          <w:color w:val="auto"/>
          <w:szCs w:val="21"/>
          <w:lang w:eastAsia="zh-CN"/>
        </w:rPr>
        <w:t>响应文件</w:t>
      </w:r>
      <w:r>
        <w:rPr>
          <w:rFonts w:hint="eastAsia" w:ascii="宋体" w:hAnsi="宋体"/>
          <w:color w:val="auto"/>
          <w:szCs w:val="21"/>
        </w:rPr>
        <w:t>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lang w:eastAsia="zh-CN"/>
        </w:rPr>
        <w:t>响应供应商</w:t>
      </w:r>
      <w:r>
        <w:rPr>
          <w:rFonts w:hint="eastAsia" w:ascii="宋体" w:hAnsi="宋体"/>
          <w:color w:val="auto"/>
          <w:szCs w:val="21"/>
        </w:rPr>
        <w:t>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lang w:eastAsia="zh-CN"/>
        </w:rPr>
        <w:t>响应供应商</w:t>
      </w:r>
      <w:r>
        <w:rPr>
          <w:rFonts w:hint="eastAsia" w:ascii="宋体" w:hAnsi="宋体"/>
          <w:color w:val="auto"/>
          <w:szCs w:val="21"/>
        </w:rPr>
        <w:t>报价的内容与磋商文件的技术、商务要求有偏离时，无论这种偏离是否有利于买方，</w:t>
      </w:r>
      <w:r>
        <w:rPr>
          <w:rFonts w:hint="eastAsia" w:ascii="宋体" w:hAnsi="宋体"/>
          <w:color w:val="auto"/>
          <w:szCs w:val="21"/>
          <w:lang w:eastAsia="zh-CN"/>
        </w:rPr>
        <w:t>响应供应商</w:t>
      </w:r>
      <w:r>
        <w:rPr>
          <w:rFonts w:hint="eastAsia" w:ascii="宋体" w:hAnsi="宋体"/>
          <w:color w:val="auto"/>
          <w:szCs w:val="21"/>
        </w:rPr>
        <w:t>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lang w:eastAsia="zh-CN"/>
        </w:rPr>
        <w:t>响应供应商</w:t>
      </w:r>
      <w:r>
        <w:rPr>
          <w:rFonts w:hint="eastAsia" w:ascii="宋体" w:hAnsi="宋体"/>
          <w:color w:val="auto"/>
          <w:szCs w:val="21"/>
        </w:rPr>
        <w:t>应按</w:t>
      </w:r>
      <w:r>
        <w:rPr>
          <w:rFonts w:hint="eastAsia" w:ascii="宋体" w:hAnsi="宋体"/>
          <w:color w:val="auto"/>
          <w:szCs w:val="21"/>
          <w:lang w:eastAsia="zh-CN"/>
        </w:rPr>
        <w:t>响应文件</w:t>
      </w:r>
      <w:r>
        <w:rPr>
          <w:rFonts w:hint="eastAsia" w:ascii="宋体" w:hAnsi="宋体"/>
          <w:color w:val="auto"/>
          <w:szCs w:val="21"/>
        </w:rPr>
        <w:t>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lang w:eastAsia="zh-CN"/>
        </w:rPr>
        <w:t>响应文件</w:t>
      </w:r>
      <w:r>
        <w:rPr>
          <w:rFonts w:hint="eastAsia" w:ascii="宋体" w:hAnsi="宋体"/>
          <w:b/>
          <w:color w:val="auto"/>
          <w:sz w:val="24"/>
        </w:rPr>
        <w:t>的签署、装订和密封</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ascii="宋体" w:hAnsi="宋体"/>
          <w:color w:val="auto"/>
          <w:szCs w:val="21"/>
          <w:lang w:eastAsia="zh-CN"/>
        </w:rPr>
        <w:t>响应文件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w:t>
      </w:r>
      <w:r>
        <w:rPr>
          <w:rFonts w:hint="eastAsia" w:ascii="宋体" w:hAnsi="宋体"/>
          <w:color w:val="auto"/>
          <w:szCs w:val="21"/>
          <w:lang w:eastAsia="zh-CN"/>
        </w:rPr>
        <w:t>响应文件</w:t>
      </w:r>
      <w:r>
        <w:rPr>
          <w:rFonts w:hint="eastAsia" w:ascii="宋体" w:hAnsi="宋体"/>
          <w:color w:val="auto"/>
          <w:szCs w:val="21"/>
        </w:rPr>
        <w:t>正本应由</w:t>
      </w:r>
      <w:r>
        <w:rPr>
          <w:rFonts w:hint="eastAsia" w:ascii="宋体" w:hAnsi="宋体"/>
          <w:color w:val="auto"/>
          <w:szCs w:val="21"/>
          <w:lang w:eastAsia="zh-CN"/>
        </w:rPr>
        <w:t>响应供应商</w:t>
      </w:r>
      <w:r>
        <w:rPr>
          <w:rFonts w:hint="eastAsia" w:ascii="宋体" w:hAnsi="宋体"/>
          <w:color w:val="auto"/>
          <w:szCs w:val="21"/>
        </w:rPr>
        <w:t>的法定代表人或经法定代表人正式授权的代表在</w:t>
      </w:r>
      <w:r>
        <w:rPr>
          <w:rFonts w:hint="eastAsia" w:ascii="宋体" w:hAnsi="宋体"/>
          <w:color w:val="auto"/>
          <w:szCs w:val="21"/>
          <w:lang w:eastAsia="zh-CN"/>
        </w:rPr>
        <w:t>响应文件</w:t>
      </w:r>
      <w:r>
        <w:rPr>
          <w:rFonts w:hint="eastAsia" w:ascii="宋体" w:hAnsi="宋体"/>
          <w:color w:val="auto"/>
          <w:szCs w:val="21"/>
        </w:rPr>
        <w:t>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w:t>
      </w:r>
      <w:r>
        <w:rPr>
          <w:rFonts w:hint="eastAsia" w:ascii="宋体" w:hAnsi="宋体"/>
          <w:color w:val="auto"/>
          <w:szCs w:val="21"/>
          <w:lang w:eastAsia="zh-CN"/>
        </w:rPr>
        <w:t>响应文件</w:t>
      </w:r>
      <w:r>
        <w:rPr>
          <w:rFonts w:hint="eastAsia" w:ascii="宋体" w:hAnsi="宋体"/>
          <w:color w:val="auto"/>
          <w:szCs w:val="21"/>
        </w:rPr>
        <w:t>中。任何行间插字、涂改和增删，必须由</w:t>
      </w:r>
      <w:r>
        <w:rPr>
          <w:rFonts w:hint="eastAsia" w:ascii="宋体" w:hAnsi="宋体"/>
          <w:color w:val="auto"/>
          <w:szCs w:val="21"/>
          <w:lang w:eastAsia="zh-CN"/>
        </w:rPr>
        <w:t>响应供应商</w:t>
      </w:r>
      <w:r>
        <w:rPr>
          <w:rFonts w:hint="eastAsia" w:ascii="宋体" w:hAnsi="宋体"/>
          <w:color w:val="auto"/>
          <w:szCs w:val="21"/>
        </w:rPr>
        <w:t>盖章才有效。</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lang w:eastAsia="zh-CN"/>
        </w:rPr>
        <w:t>响应供应商</w:t>
      </w:r>
      <w:r>
        <w:rPr>
          <w:rFonts w:hint="eastAsia" w:hAnsi="宋体"/>
          <w:color w:val="auto"/>
        </w:rPr>
        <w:t>应同时提交与</w:t>
      </w:r>
      <w:r>
        <w:rPr>
          <w:rFonts w:hint="eastAsia" w:hAnsi="宋体"/>
          <w:color w:val="auto"/>
          <w:lang w:eastAsia="zh-CN"/>
        </w:rPr>
        <w:t>响应文件</w:t>
      </w:r>
      <w:r>
        <w:rPr>
          <w:rFonts w:hint="eastAsia" w:hAnsi="宋体"/>
          <w:color w:val="auto"/>
        </w:rPr>
        <w:t>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w:t>
      </w:r>
      <w:r>
        <w:rPr>
          <w:rFonts w:hint="eastAsia" w:hAnsi="宋体"/>
          <w:b/>
          <w:bCs/>
          <w:color w:val="auto"/>
          <w:lang w:eastAsia="zh-CN"/>
        </w:rPr>
        <w:t>响应文件</w:t>
      </w:r>
      <w:r>
        <w:rPr>
          <w:rFonts w:hint="eastAsia" w:hAnsi="宋体"/>
          <w:b/>
          <w:bCs/>
          <w:color w:val="auto"/>
        </w:rPr>
        <w:t>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w:t>
      </w:r>
      <w:r>
        <w:rPr>
          <w:rFonts w:hint="eastAsia"/>
          <w:color w:val="auto"/>
          <w:lang w:eastAsia="zh-CN"/>
        </w:rPr>
        <w:t>响应文件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lang w:eastAsia="zh-CN"/>
        </w:rPr>
        <w:t>响应文件</w:t>
      </w:r>
      <w:r>
        <w:rPr>
          <w:rFonts w:hint="eastAsia" w:hAnsi="宋体"/>
          <w:color w:val="auto"/>
        </w:rPr>
        <w:t>正本须用</w:t>
      </w:r>
      <w:r>
        <w:rPr>
          <w:rFonts w:hAnsi="宋体"/>
          <w:color w:val="auto"/>
        </w:rPr>
        <w:t>A4</w:t>
      </w:r>
      <w:r>
        <w:rPr>
          <w:rFonts w:hint="eastAsia" w:hAnsi="宋体"/>
          <w:color w:val="auto"/>
        </w:rPr>
        <w:t>纸及不褪色墨水书写或打印，由</w:t>
      </w:r>
      <w:r>
        <w:rPr>
          <w:rFonts w:hint="eastAsia" w:hAnsi="宋体"/>
          <w:color w:val="auto"/>
          <w:lang w:eastAsia="zh-CN"/>
        </w:rPr>
        <w:t>响应供应商</w:t>
      </w:r>
      <w:r>
        <w:rPr>
          <w:rFonts w:hint="eastAsia" w:hAnsi="宋体"/>
          <w:color w:val="auto"/>
        </w:rPr>
        <w:t>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w:t>
      </w:r>
      <w:r>
        <w:rPr>
          <w:rFonts w:hint="eastAsia" w:hAnsi="宋体"/>
          <w:color w:val="auto"/>
          <w:lang w:eastAsia="zh-CN"/>
        </w:rPr>
        <w:t>响应文件</w:t>
      </w:r>
      <w:r>
        <w:rPr>
          <w:rFonts w:hint="eastAsia" w:hAnsi="宋体"/>
          <w:color w:val="auto"/>
        </w:rPr>
        <w:t>中。</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lang w:eastAsia="zh-CN"/>
        </w:rPr>
        <w:t>响应文件</w:t>
      </w:r>
      <w:r>
        <w:rPr>
          <w:rFonts w:hint="eastAsia" w:hAnsi="宋体"/>
          <w:color w:val="auto"/>
        </w:rPr>
        <w:t>的正本，磋商文件中已明示需盖章</w:t>
      </w:r>
      <w:r>
        <w:rPr>
          <w:rFonts w:hint="eastAsia" w:hAnsi="宋体"/>
          <w:color w:val="auto"/>
          <w:lang w:eastAsia="zh-CN"/>
        </w:rPr>
        <w:t>签字或盖章</w:t>
      </w:r>
      <w:r>
        <w:rPr>
          <w:rFonts w:hint="eastAsia" w:hAnsi="宋体"/>
          <w:color w:val="auto"/>
        </w:rPr>
        <w:t>处，均须由</w:t>
      </w:r>
      <w:r>
        <w:rPr>
          <w:rFonts w:hint="eastAsia" w:hAnsi="宋体"/>
          <w:color w:val="auto"/>
          <w:lang w:eastAsia="zh-CN"/>
        </w:rPr>
        <w:t>响应供应商</w:t>
      </w:r>
      <w:r>
        <w:rPr>
          <w:rFonts w:hint="eastAsia" w:hAnsi="宋体"/>
          <w:color w:val="auto"/>
        </w:rPr>
        <w:t>加盖</w:t>
      </w:r>
      <w:r>
        <w:rPr>
          <w:rFonts w:hint="eastAsia" w:hAnsi="宋体"/>
          <w:color w:val="auto"/>
          <w:lang w:eastAsia="zh-CN"/>
        </w:rPr>
        <w:t>响应供应商</w:t>
      </w:r>
      <w:r>
        <w:rPr>
          <w:rFonts w:hint="eastAsia" w:hAnsi="宋体"/>
          <w:color w:val="auto"/>
        </w:rPr>
        <w:t>公章，并经</w:t>
      </w:r>
      <w:r>
        <w:rPr>
          <w:rFonts w:hint="eastAsia" w:hAnsi="宋体"/>
          <w:color w:val="auto"/>
          <w:lang w:eastAsia="zh-CN"/>
        </w:rPr>
        <w:t>响应供应商</w:t>
      </w:r>
      <w:r>
        <w:rPr>
          <w:rFonts w:hint="eastAsia" w:hAnsi="宋体"/>
          <w:color w:val="auto"/>
        </w:rPr>
        <w:t>法定代表人或其授权代表</w:t>
      </w:r>
      <w:r>
        <w:rPr>
          <w:rFonts w:hint="eastAsia" w:hAnsi="宋体"/>
          <w:color w:val="auto"/>
          <w:lang w:eastAsia="zh-CN"/>
        </w:rPr>
        <w:t>签字或盖章</w:t>
      </w:r>
      <w:r>
        <w:rPr>
          <w:rFonts w:hint="eastAsia" w:hAnsi="宋体"/>
          <w:color w:val="auto"/>
        </w:rPr>
        <w:t>。如果《报价资料表》允许</w:t>
      </w:r>
      <w:r>
        <w:rPr>
          <w:rFonts w:hint="eastAsia" w:hAnsi="宋体"/>
          <w:color w:val="auto"/>
          <w:lang w:eastAsia="zh-CN"/>
        </w:rPr>
        <w:t>响应供应商</w:t>
      </w:r>
      <w:r>
        <w:rPr>
          <w:rFonts w:hint="eastAsia" w:hAnsi="宋体"/>
          <w:color w:val="auto"/>
        </w:rPr>
        <w:t>为联合体，联合体在签署</w:t>
      </w:r>
      <w:r>
        <w:rPr>
          <w:rFonts w:hint="eastAsia" w:hAnsi="宋体"/>
          <w:color w:val="auto"/>
          <w:lang w:eastAsia="zh-CN"/>
        </w:rPr>
        <w:t>响应文件</w:t>
      </w:r>
      <w:r>
        <w:rPr>
          <w:rFonts w:hint="eastAsia" w:hAnsi="宋体"/>
          <w:color w:val="auto"/>
        </w:rPr>
        <w:t>时应在</w:t>
      </w:r>
      <w:r>
        <w:rPr>
          <w:rFonts w:hint="eastAsia" w:hAnsi="宋体"/>
          <w:color w:val="auto"/>
          <w:lang w:eastAsia="zh-CN"/>
        </w:rPr>
        <w:t>响应供应商</w:t>
      </w:r>
      <w:r>
        <w:rPr>
          <w:rFonts w:hint="eastAsia" w:hAnsi="宋体"/>
          <w:color w:val="auto"/>
        </w:rPr>
        <w:t>名称后面注明“联合体”字样。</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lang w:eastAsia="zh-CN"/>
        </w:rPr>
        <w:t>响应文件</w:t>
      </w:r>
      <w:r>
        <w:rPr>
          <w:rFonts w:hint="eastAsia" w:hAnsi="宋体"/>
          <w:color w:val="auto"/>
        </w:rPr>
        <w:t>副本可采用</w:t>
      </w:r>
      <w:r>
        <w:rPr>
          <w:rFonts w:hint="eastAsia" w:hAnsi="宋体"/>
          <w:color w:val="auto"/>
          <w:lang w:eastAsia="zh-CN"/>
        </w:rPr>
        <w:t>响应文件</w:t>
      </w:r>
      <w:r>
        <w:rPr>
          <w:rFonts w:hint="eastAsia" w:hAnsi="宋体"/>
          <w:color w:val="auto"/>
        </w:rPr>
        <w:t>的正本复印而成，</w:t>
      </w:r>
      <w:r>
        <w:rPr>
          <w:rFonts w:hAnsi="宋体"/>
          <w:color w:val="auto"/>
        </w:rPr>
        <w:t>A4</w:t>
      </w:r>
      <w:r>
        <w:rPr>
          <w:rFonts w:hint="eastAsia" w:hAnsi="宋体"/>
          <w:color w:val="auto"/>
        </w:rPr>
        <w:t>纸装订成册。</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rPr>
        <w:t>没有按照要求递交</w:t>
      </w:r>
      <w:r>
        <w:rPr>
          <w:rFonts w:hint="eastAsia" w:hAnsi="宋体"/>
          <w:color w:val="auto"/>
          <w:lang w:eastAsia="zh-CN"/>
        </w:rPr>
        <w:t>响应文件</w:t>
      </w:r>
      <w:r>
        <w:rPr>
          <w:rFonts w:hint="eastAsia" w:hAnsi="宋体"/>
          <w:color w:val="auto"/>
        </w:rPr>
        <w:t>及传真和电传的</w:t>
      </w:r>
      <w:r>
        <w:rPr>
          <w:rFonts w:hint="eastAsia" w:hAnsi="宋体"/>
          <w:color w:val="auto"/>
          <w:lang w:eastAsia="zh-CN"/>
        </w:rPr>
        <w:t>响应文件</w:t>
      </w:r>
      <w:r>
        <w:rPr>
          <w:rFonts w:hint="eastAsia" w:hAnsi="宋体"/>
          <w:color w:val="auto"/>
        </w:rPr>
        <w:t>将被拒绝。</w:t>
      </w:r>
      <w:r>
        <w:rPr>
          <w:rFonts w:ascii="宋体" w:hAnsi="宋体"/>
          <w:color w:val="auto"/>
          <w:szCs w:val="21"/>
        </w:rPr>
        <w:t xml:space="preserve"> </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lang w:eastAsia="zh-CN"/>
        </w:rPr>
        <w:t>响应供应商</w:t>
      </w:r>
      <w:r>
        <w:rPr>
          <w:rFonts w:hint="eastAsia" w:hAnsi="宋体"/>
          <w:color w:val="auto"/>
        </w:rPr>
        <w:t>应将</w:t>
      </w:r>
      <w:r>
        <w:rPr>
          <w:rFonts w:hint="eastAsia" w:hAnsi="宋体"/>
          <w:color w:val="auto"/>
          <w:lang w:eastAsia="zh-CN"/>
        </w:rPr>
        <w:t>响应文件</w:t>
      </w:r>
      <w:r>
        <w:rPr>
          <w:rFonts w:hint="eastAsia" w:hAnsi="宋体"/>
          <w:color w:val="auto"/>
        </w:rPr>
        <w:t>正本和所有的副本分开密封装在封套中，封套须加盖公章且在封套上标明“正本”“副本”字样。</w:t>
      </w:r>
    </w:p>
    <w:p>
      <w:pPr>
        <w:widowControl w:val="0"/>
        <w:numPr>
          <w:ilvl w:val="0"/>
          <w:numId w:val="7"/>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8"/>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云浮市生态环境局罗定分局2021年建设项目环境影响报告书（表）技术评估服务项目</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 xml:space="preserve">GDYX2021YB0005   </w:t>
            </w:r>
          </w:p>
          <w:p>
            <w:pPr>
              <w:spacing w:line="360" w:lineRule="auto"/>
              <w:ind w:left="180"/>
              <w:rPr>
                <w:rFonts w:ascii="宋体"/>
                <w:color w:val="auto"/>
                <w:szCs w:val="21"/>
              </w:rPr>
            </w:pPr>
            <w:r>
              <w:rPr>
                <w:rFonts w:hint="eastAsia" w:ascii="宋体" w:hAnsi="宋体"/>
                <w:color w:val="auto"/>
                <w:szCs w:val="21"/>
                <w:lang w:eastAsia="zh-CN"/>
              </w:rPr>
              <w:t>响应供应商</w:t>
            </w:r>
            <w:r>
              <w:rPr>
                <w:rFonts w:hint="eastAsia" w:ascii="宋体" w:hAnsi="宋体"/>
                <w:color w:val="auto"/>
                <w:szCs w:val="21"/>
              </w:rPr>
              <w:t>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lang w:eastAsia="zh-CN"/>
              </w:rPr>
              <w:t>响应供应商</w:t>
            </w:r>
            <w:r>
              <w:rPr>
                <w:rFonts w:hint="eastAsia" w:ascii="宋体" w:hAnsi="宋体"/>
                <w:color w:val="auto"/>
                <w:szCs w:val="21"/>
              </w:rPr>
              <w:t>地址：</w:t>
            </w:r>
            <w:r>
              <w:rPr>
                <w:rFonts w:ascii="宋体" w:hAnsi="宋体"/>
                <w:color w:val="auto"/>
                <w:szCs w:val="21"/>
              </w:rPr>
              <w:t xml:space="preserve">                                  </w:t>
            </w:r>
            <w:r>
              <w:rPr>
                <w:rFonts w:hint="eastAsia" w:ascii="宋体" w:hAnsi="宋体"/>
                <w:color w:val="auto"/>
                <w:szCs w:val="21"/>
              </w:rPr>
              <w:t>邮政编码：</w:t>
            </w:r>
          </w:p>
          <w:p>
            <w:pPr>
              <w:pStyle w:val="5"/>
              <w:tabs>
                <w:tab w:val="left" w:pos="102"/>
              </w:tabs>
              <w:ind w:left="-599" w:firstLine="804" w:firstLineChars="383"/>
              <w:jc w:val="left"/>
              <w:rPr>
                <w:rFonts w:hAnsi="宋体"/>
                <w:color w:val="auto"/>
                <w:szCs w:val="21"/>
              </w:rPr>
            </w:pPr>
            <w:r>
              <w:rPr>
                <w:rFonts w:hint="eastAsia" w:hAnsi="宋体"/>
                <w:color w:val="auto"/>
                <w:szCs w:val="21"/>
                <w:lang w:eastAsia="zh-CN"/>
              </w:rPr>
              <w:t>响应供应商</w:t>
            </w:r>
            <w:r>
              <w:rPr>
                <w:rFonts w:hint="eastAsia" w:hAnsi="宋体"/>
                <w:color w:val="auto"/>
                <w:szCs w:val="21"/>
              </w:rPr>
              <w:t>代表：</w:t>
            </w:r>
            <w:r>
              <w:rPr>
                <w:rFonts w:hAnsi="宋体"/>
                <w:color w:val="auto"/>
                <w:szCs w:val="21"/>
              </w:rPr>
              <w:t xml:space="preserve">                                  </w:t>
            </w:r>
            <w:r>
              <w:rPr>
                <w:rFonts w:hint="eastAsia" w:hAnsi="宋体"/>
                <w:color w:val="auto"/>
                <w:szCs w:val="21"/>
              </w:rPr>
              <w:t>联系电话：</w:t>
            </w:r>
          </w:p>
        </w:tc>
      </w:tr>
    </w:tbl>
    <w:p>
      <w:pPr>
        <w:widowControl w:val="0"/>
        <w:numPr>
          <w:ilvl w:val="0"/>
          <w:numId w:val="7"/>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w:t>
      </w:r>
      <w:r>
        <w:rPr>
          <w:rFonts w:hint="eastAsia" w:hAnsi="宋体"/>
          <w:color w:val="auto"/>
          <w:lang w:eastAsia="zh-CN"/>
        </w:rPr>
        <w:t>响应供应商</w:t>
      </w:r>
      <w:r>
        <w:rPr>
          <w:rFonts w:hint="eastAsia" w:hAnsi="宋体"/>
          <w:color w:val="auto"/>
        </w:rPr>
        <w:t>名称和地址，以便如果其</w:t>
      </w:r>
      <w:r>
        <w:rPr>
          <w:rFonts w:hint="eastAsia" w:hAnsi="宋体"/>
          <w:color w:val="auto"/>
          <w:lang w:eastAsia="zh-CN"/>
        </w:rPr>
        <w:t>响应文件</w:t>
      </w:r>
      <w:r>
        <w:rPr>
          <w:rFonts w:hint="eastAsia" w:hAnsi="宋体"/>
          <w:color w:val="auto"/>
        </w:rPr>
        <w:t>被宣布为“迟交”时，能原封退回。</w:t>
      </w:r>
    </w:p>
    <w:p>
      <w:pPr>
        <w:widowControl w:val="0"/>
        <w:numPr>
          <w:ilvl w:val="0"/>
          <w:numId w:val="7"/>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lang w:eastAsia="zh-CN"/>
        </w:rPr>
        <w:t>响应文件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8"/>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w:t>
      </w:r>
      <w:r>
        <w:rPr>
          <w:rFonts w:hint="eastAsia" w:ascii="宋体" w:hAnsi="宋体"/>
          <w:color w:val="auto"/>
          <w:szCs w:val="21"/>
          <w:lang w:eastAsia="zh-CN"/>
        </w:rPr>
        <w:t>响应供应商</w:t>
      </w:r>
      <w:r>
        <w:rPr>
          <w:rFonts w:hint="eastAsia" w:ascii="宋体" w:hAnsi="宋体"/>
          <w:color w:val="auto"/>
          <w:szCs w:val="21"/>
        </w:rPr>
        <w:t>同意延长有效期，要求与答复均应以书面形式表示。</w:t>
      </w:r>
      <w:r>
        <w:rPr>
          <w:rFonts w:hint="eastAsia" w:ascii="宋体" w:hAnsi="宋体"/>
          <w:color w:val="auto"/>
          <w:szCs w:val="21"/>
          <w:lang w:eastAsia="zh-CN"/>
        </w:rPr>
        <w:t>响应供应商</w:t>
      </w:r>
      <w:r>
        <w:rPr>
          <w:rFonts w:hint="eastAsia" w:ascii="宋体" w:hAnsi="宋体"/>
          <w:color w:val="auto"/>
          <w:szCs w:val="21"/>
        </w:rPr>
        <w:t>可以拒绝上述要求而其报价保证金不会被没收，同意延期的</w:t>
      </w:r>
      <w:r>
        <w:rPr>
          <w:rFonts w:hint="eastAsia" w:ascii="宋体" w:hAnsi="宋体"/>
          <w:color w:val="auto"/>
          <w:szCs w:val="21"/>
          <w:lang w:eastAsia="zh-CN"/>
        </w:rPr>
        <w:t>响应供应商</w:t>
      </w:r>
      <w:r>
        <w:rPr>
          <w:rFonts w:hint="eastAsia" w:ascii="宋体" w:hAnsi="宋体"/>
          <w:color w:val="auto"/>
          <w:szCs w:val="21"/>
        </w:rPr>
        <w:t>原报价有效期内应享之权利及应负之责任也相应延续。</w:t>
      </w:r>
    </w:p>
    <w:p>
      <w:pPr>
        <w:tabs>
          <w:tab w:val="left" w:pos="360"/>
          <w:tab w:val="left" w:pos="735"/>
        </w:tabs>
        <w:snapToGrid w:val="0"/>
        <w:spacing w:before="60" w:line="360" w:lineRule="auto"/>
        <w:ind w:leftChars="-1" w:hanging="2"/>
        <w:rPr>
          <w:rFonts w:ascii="宋体"/>
          <w:b/>
          <w:color w:val="auto"/>
          <w:sz w:val="24"/>
        </w:rPr>
      </w:pPr>
      <w:r>
        <w:rPr>
          <w:rFonts w:hint="eastAsia" w:ascii="宋体" w:hAnsi="宋体"/>
          <w:b/>
          <w:color w:val="auto"/>
          <w:sz w:val="24"/>
          <w:lang w:val="en-US" w:eastAsia="zh-CN"/>
        </w:rPr>
        <w:t>5</w:t>
      </w:r>
      <w:r>
        <w:rPr>
          <w:rFonts w:ascii="宋体" w:hAnsi="宋体"/>
          <w:b/>
          <w:color w:val="auto"/>
          <w:sz w:val="24"/>
        </w:rPr>
        <w:t xml:space="preserve">     </w:t>
      </w:r>
      <w:r>
        <w:rPr>
          <w:rFonts w:hint="eastAsia" w:ascii="宋体" w:hAnsi="宋体"/>
          <w:b/>
          <w:color w:val="auto"/>
          <w:sz w:val="24"/>
          <w:lang w:eastAsia="zh-CN"/>
        </w:rPr>
        <w:t>响应文件</w:t>
      </w:r>
      <w:r>
        <w:rPr>
          <w:rFonts w:hint="eastAsia" w:ascii="宋体" w:hAnsi="宋体"/>
          <w:b/>
          <w:color w:val="auto"/>
          <w:sz w:val="24"/>
        </w:rPr>
        <w:t>的递交和撤回</w:t>
      </w:r>
    </w:p>
    <w:p>
      <w:pPr>
        <w:widowControl w:val="0"/>
        <w:numPr>
          <w:ilvl w:val="0"/>
          <w:numId w:val="0"/>
        </w:numPr>
        <w:snapToGrid w:val="0"/>
        <w:spacing w:before="60" w:line="360" w:lineRule="auto"/>
        <w:ind w:left="630" w:leftChars="0" w:hanging="630" w:hangingChars="300"/>
        <w:rPr>
          <w:rFonts w:ascii="宋体"/>
          <w:color w:val="auto"/>
          <w:szCs w:val="21"/>
        </w:rPr>
      </w:pPr>
      <w:r>
        <w:rPr>
          <w:rFonts w:hint="eastAsia" w:ascii="宋体" w:hAnsi="宋体"/>
          <w:color w:val="auto"/>
          <w:szCs w:val="21"/>
          <w:lang w:val="en-US" w:eastAsia="zh-CN"/>
        </w:rPr>
        <w:t xml:space="preserve">5.1   </w:t>
      </w:r>
      <w:r>
        <w:rPr>
          <w:rFonts w:hint="eastAsia" w:ascii="宋体" w:hAnsi="宋体"/>
          <w:color w:val="auto"/>
          <w:szCs w:val="21"/>
          <w:lang w:eastAsia="zh-CN"/>
        </w:rPr>
        <w:t>响应供应商</w:t>
      </w:r>
      <w:r>
        <w:rPr>
          <w:rFonts w:hint="eastAsia" w:ascii="宋体" w:hAnsi="宋体"/>
          <w:color w:val="auto"/>
          <w:szCs w:val="21"/>
        </w:rPr>
        <w:t>应按竞争性磋商邀请函中规定的时间和地点于报价递交截止时间之前递交</w:t>
      </w:r>
      <w:r>
        <w:rPr>
          <w:rFonts w:hint="eastAsia" w:ascii="宋体" w:hAnsi="宋体"/>
          <w:color w:val="auto"/>
          <w:szCs w:val="21"/>
          <w:lang w:eastAsia="zh-CN"/>
        </w:rPr>
        <w:t>响应文件</w:t>
      </w:r>
      <w:r>
        <w:rPr>
          <w:rFonts w:hint="eastAsia" w:ascii="宋体" w:hAnsi="宋体"/>
          <w:color w:val="auto"/>
          <w:szCs w:val="21"/>
        </w:rPr>
        <w:t>。迟于报价递交截止时间递交的</w:t>
      </w:r>
      <w:r>
        <w:rPr>
          <w:rFonts w:hint="eastAsia" w:ascii="宋体" w:hAnsi="宋体"/>
          <w:color w:val="auto"/>
          <w:szCs w:val="21"/>
          <w:lang w:eastAsia="zh-CN"/>
        </w:rPr>
        <w:t>响应文件</w:t>
      </w:r>
      <w:r>
        <w:rPr>
          <w:rFonts w:hint="eastAsia" w:ascii="宋体" w:hAnsi="宋体"/>
          <w:color w:val="auto"/>
          <w:szCs w:val="21"/>
        </w:rPr>
        <w:t>将被视为无效。</w:t>
      </w:r>
    </w:p>
    <w:p>
      <w:pPr>
        <w:widowControl w:val="0"/>
        <w:numPr>
          <w:ilvl w:val="1"/>
          <w:numId w:val="9"/>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w:t>
      </w:r>
      <w:r>
        <w:rPr>
          <w:rFonts w:hint="eastAsia" w:ascii="宋体" w:hAnsi="宋体"/>
          <w:color w:val="auto"/>
          <w:spacing w:val="-6"/>
          <w:szCs w:val="21"/>
          <w:lang w:eastAsia="zh-CN"/>
        </w:rPr>
        <w:t>响应供应商</w:t>
      </w:r>
      <w:r>
        <w:rPr>
          <w:rFonts w:hint="eastAsia" w:ascii="宋体" w:hAnsi="宋体"/>
          <w:color w:val="auto"/>
          <w:spacing w:val="-6"/>
          <w:szCs w:val="21"/>
        </w:rPr>
        <w:t>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w:t>
      </w:r>
      <w:r>
        <w:rPr>
          <w:rFonts w:hint="eastAsia" w:ascii="宋体" w:hAnsi="宋体"/>
          <w:color w:val="auto"/>
          <w:szCs w:val="21"/>
          <w:lang w:eastAsia="zh-CN"/>
        </w:rPr>
        <w:t>响应供应商</w:t>
      </w:r>
      <w:r>
        <w:rPr>
          <w:rFonts w:hint="eastAsia" w:ascii="宋体" w:hAnsi="宋体"/>
          <w:color w:val="auto"/>
          <w:szCs w:val="21"/>
        </w:rPr>
        <w:t>进行磋商及对最终形成的</w:t>
      </w:r>
      <w:r>
        <w:rPr>
          <w:rFonts w:hint="eastAsia" w:ascii="宋体" w:hAnsi="宋体"/>
          <w:color w:val="auto"/>
          <w:szCs w:val="21"/>
          <w:lang w:eastAsia="zh-CN"/>
        </w:rPr>
        <w:t>响应文件</w:t>
      </w:r>
      <w:r>
        <w:rPr>
          <w:rFonts w:hint="eastAsia" w:ascii="宋体" w:hAnsi="宋体"/>
          <w:color w:val="auto"/>
          <w:szCs w:val="21"/>
        </w:rPr>
        <w:t>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w:t>
      </w:r>
      <w:r>
        <w:rPr>
          <w:rFonts w:hint="eastAsia" w:ascii="宋体" w:hAnsi="宋体"/>
          <w:color w:val="auto"/>
          <w:szCs w:val="21"/>
          <w:lang w:eastAsia="zh-CN"/>
        </w:rPr>
        <w:t>响应文件</w:t>
      </w:r>
      <w:r>
        <w:rPr>
          <w:rFonts w:hint="eastAsia" w:ascii="宋体" w:hAnsi="宋体"/>
          <w:color w:val="auto"/>
          <w:szCs w:val="21"/>
        </w:rPr>
        <w:t>的</w:t>
      </w:r>
      <w:r>
        <w:rPr>
          <w:rFonts w:hint="eastAsia" w:ascii="宋体" w:hAnsi="宋体"/>
          <w:color w:val="auto"/>
          <w:szCs w:val="21"/>
          <w:lang w:eastAsia="zh-CN"/>
        </w:rPr>
        <w:t>响应供应商</w:t>
      </w:r>
      <w:r>
        <w:rPr>
          <w:rFonts w:hint="eastAsia" w:ascii="宋体" w:hAnsi="宋体"/>
          <w:color w:val="auto"/>
          <w:szCs w:val="21"/>
        </w:rPr>
        <w:t>进行磋商排序。</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w:t>
      </w:r>
      <w:r>
        <w:rPr>
          <w:rFonts w:hint="eastAsia" w:ascii="宋体" w:hAnsi="宋体"/>
          <w:color w:val="auto"/>
          <w:szCs w:val="21"/>
          <w:lang w:eastAsia="zh-CN"/>
        </w:rPr>
        <w:t>响应供应商</w:t>
      </w:r>
      <w:r>
        <w:rPr>
          <w:rFonts w:hint="eastAsia" w:ascii="宋体" w:hAnsi="宋体"/>
          <w:color w:val="auto"/>
          <w:szCs w:val="21"/>
        </w:rPr>
        <w:t>分别就技术、商务和价格进行相同轮次（一个或多个回合）磋商，并形成磋商纪要文件。磋商目的在于澄清报价、明确需求，使所有</w:t>
      </w:r>
      <w:r>
        <w:rPr>
          <w:rFonts w:hint="eastAsia" w:ascii="宋体" w:hAnsi="宋体"/>
          <w:color w:val="auto"/>
          <w:szCs w:val="21"/>
          <w:lang w:eastAsia="zh-CN"/>
        </w:rPr>
        <w:t>响应供应商</w:t>
      </w:r>
      <w:r>
        <w:rPr>
          <w:rFonts w:hint="eastAsia" w:ascii="宋体" w:hAnsi="宋体"/>
          <w:color w:val="auto"/>
          <w:szCs w:val="21"/>
        </w:rPr>
        <w:t>的响应具有可比性。在磋商中，磋商的任何一方不得透露与磋商有关的其他</w:t>
      </w:r>
      <w:r>
        <w:rPr>
          <w:rFonts w:hint="eastAsia" w:ascii="宋体" w:hAnsi="宋体"/>
          <w:color w:val="auto"/>
          <w:szCs w:val="21"/>
          <w:lang w:eastAsia="zh-CN"/>
        </w:rPr>
        <w:t>响应供应商</w:t>
      </w:r>
      <w:r>
        <w:rPr>
          <w:rFonts w:hint="eastAsia" w:ascii="宋体" w:hAnsi="宋体"/>
          <w:color w:val="auto"/>
          <w:szCs w:val="21"/>
        </w:rPr>
        <w:t>的技术资料、报价和其他信息。</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w:t>
      </w:r>
      <w:r>
        <w:rPr>
          <w:rFonts w:hint="eastAsia" w:ascii="宋体" w:hAnsi="宋体"/>
          <w:color w:val="auto"/>
          <w:szCs w:val="21"/>
          <w:lang w:eastAsia="zh-CN"/>
        </w:rPr>
        <w:t>响应供应商</w:t>
      </w:r>
      <w:r>
        <w:rPr>
          <w:rFonts w:hint="eastAsia" w:ascii="宋体" w:hAnsi="宋体"/>
          <w:color w:val="auto"/>
          <w:szCs w:val="21"/>
        </w:rPr>
        <w:t>。</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w:t>
      </w:r>
      <w:r>
        <w:rPr>
          <w:rFonts w:hint="eastAsia" w:ascii="宋体" w:hAnsi="宋体"/>
          <w:color w:val="auto"/>
          <w:szCs w:val="21"/>
          <w:lang w:eastAsia="zh-CN"/>
        </w:rPr>
        <w:t>响应供应商</w:t>
      </w:r>
      <w:r>
        <w:rPr>
          <w:rFonts w:hint="eastAsia" w:ascii="宋体" w:hAnsi="宋体"/>
          <w:color w:val="auto"/>
          <w:szCs w:val="21"/>
        </w:rPr>
        <w:t>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w:t>
      </w:r>
      <w:r>
        <w:rPr>
          <w:rFonts w:hint="eastAsia" w:ascii="宋体" w:hAnsi="宋体"/>
          <w:color w:val="auto"/>
          <w:szCs w:val="21"/>
          <w:lang w:eastAsia="zh-CN"/>
        </w:rPr>
        <w:t>响应供应商</w:t>
      </w:r>
      <w:r>
        <w:rPr>
          <w:rFonts w:hint="eastAsia" w:ascii="宋体" w:hAnsi="宋体"/>
          <w:color w:val="auto"/>
          <w:szCs w:val="21"/>
        </w:rPr>
        <w:t>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w:t>
      </w:r>
      <w:r>
        <w:rPr>
          <w:rFonts w:hint="eastAsia" w:ascii="宋体" w:hAnsi="宋体"/>
          <w:color w:val="auto"/>
          <w:szCs w:val="21"/>
          <w:lang w:eastAsia="zh-CN"/>
        </w:rPr>
        <w:t>响应供应商</w:t>
      </w:r>
      <w:r>
        <w:rPr>
          <w:rFonts w:hint="eastAsia" w:ascii="宋体" w:hAnsi="宋体"/>
          <w:color w:val="auto"/>
          <w:szCs w:val="21"/>
        </w:rPr>
        <w:t>的后次报价高于其前次报价的，磋商小组有权确定其报价为无效报价；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w:t>
      </w:r>
      <w:r>
        <w:rPr>
          <w:rFonts w:hint="eastAsia" w:ascii="宋体" w:hAnsi="宋体"/>
          <w:color w:val="auto"/>
          <w:szCs w:val="21"/>
          <w:lang w:eastAsia="zh-CN"/>
        </w:rPr>
        <w:t>响应供应商</w:t>
      </w:r>
      <w:r>
        <w:rPr>
          <w:rFonts w:hint="eastAsia" w:ascii="宋体" w:hAnsi="宋体"/>
          <w:color w:val="auto"/>
          <w:szCs w:val="21"/>
        </w:rPr>
        <w:t>提交的响应文件、澄清文件、最后</w:t>
      </w:r>
      <w:r>
        <w:rPr>
          <w:rFonts w:hint="eastAsia" w:ascii="宋体" w:hAnsi="宋体"/>
          <w:color w:val="auto"/>
          <w:szCs w:val="21"/>
          <w:lang w:eastAsia="zh-CN"/>
        </w:rPr>
        <w:t>响应文件</w:t>
      </w:r>
      <w:r>
        <w:rPr>
          <w:rFonts w:hint="eastAsia" w:ascii="宋体" w:hAnsi="宋体"/>
          <w:color w:val="auto"/>
          <w:szCs w:val="21"/>
        </w:rPr>
        <w:t>等，由</w:t>
      </w:r>
      <w:r>
        <w:rPr>
          <w:rFonts w:hint="eastAsia" w:ascii="宋体" w:hAnsi="宋体"/>
          <w:color w:val="auto"/>
          <w:szCs w:val="21"/>
          <w:lang w:eastAsia="zh-CN"/>
        </w:rPr>
        <w:t>响应供应商</w:t>
      </w:r>
      <w:r>
        <w:rPr>
          <w:rFonts w:hint="eastAsia" w:ascii="宋体" w:hAnsi="宋体"/>
          <w:color w:val="auto"/>
          <w:szCs w:val="21"/>
        </w:rPr>
        <w:t>法人代表或授权代表当场</w:t>
      </w:r>
      <w:r>
        <w:rPr>
          <w:rFonts w:hint="eastAsia" w:ascii="宋体" w:hAnsi="宋体"/>
          <w:color w:val="auto"/>
          <w:szCs w:val="21"/>
          <w:lang w:eastAsia="zh-CN"/>
        </w:rPr>
        <w:t>签字或盖章</w:t>
      </w:r>
      <w:r>
        <w:rPr>
          <w:rFonts w:hint="eastAsia" w:ascii="宋体" w:hAnsi="宋体"/>
          <w:color w:val="auto"/>
          <w:szCs w:val="21"/>
        </w:rPr>
        <w:t>后生效，</w:t>
      </w:r>
      <w:r>
        <w:rPr>
          <w:rFonts w:hint="eastAsia" w:ascii="宋体" w:hAnsi="宋体"/>
          <w:color w:val="auto"/>
          <w:szCs w:val="21"/>
          <w:lang w:eastAsia="zh-CN"/>
        </w:rPr>
        <w:t>响应供应商</w:t>
      </w:r>
      <w:r>
        <w:rPr>
          <w:rFonts w:hint="eastAsia" w:ascii="宋体" w:hAnsi="宋体"/>
          <w:color w:val="auto"/>
          <w:szCs w:val="21"/>
        </w:rPr>
        <w:t>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1"/>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1"/>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w:t>
      </w:r>
      <w:r>
        <w:rPr>
          <w:rFonts w:hint="eastAsia" w:ascii="宋体" w:hAnsi="宋体"/>
          <w:color w:val="auto"/>
          <w:szCs w:val="21"/>
          <w:lang w:eastAsia="zh-CN"/>
        </w:rPr>
        <w:t>响应文件</w:t>
      </w:r>
      <w:r>
        <w:rPr>
          <w:rFonts w:hint="eastAsia" w:ascii="宋体" w:hAnsi="宋体"/>
          <w:color w:val="auto"/>
          <w:szCs w:val="21"/>
        </w:rPr>
        <w:t>将被视为无效报价。</w:t>
      </w:r>
    </w:p>
    <w:p>
      <w:pPr>
        <w:widowControl w:val="0"/>
        <w:numPr>
          <w:ilvl w:val="0"/>
          <w:numId w:val="11"/>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w:t>
      </w:r>
      <w:r>
        <w:rPr>
          <w:rFonts w:hint="eastAsia" w:ascii="宋体" w:hAnsi="宋体" w:cs="Arial"/>
          <w:color w:val="auto"/>
          <w:szCs w:val="21"/>
          <w:lang w:eastAsia="zh-CN"/>
        </w:rPr>
        <w:t>响应文件</w:t>
      </w:r>
      <w:r>
        <w:rPr>
          <w:rFonts w:hint="eastAsia" w:ascii="宋体" w:hAnsi="宋体" w:cs="Arial"/>
          <w:color w:val="auto"/>
          <w:szCs w:val="21"/>
        </w:rPr>
        <w:t>和磋商承诺文件和最后报价为依据，在需求明确的基础上，按公正、科学、客观、平等竞争的要求，推荐技术先进、报价合理、经验丰富、信誉良好、售后服务好、及综合实力强的成交</w:t>
      </w:r>
      <w:r>
        <w:rPr>
          <w:rFonts w:hint="eastAsia" w:ascii="宋体" w:hAnsi="宋体" w:cs="Arial"/>
          <w:color w:val="auto"/>
          <w:szCs w:val="21"/>
          <w:lang w:eastAsia="zh-CN"/>
        </w:rPr>
        <w:t>响应供应商</w:t>
      </w:r>
      <w:r>
        <w:rPr>
          <w:rFonts w:hint="eastAsia" w:ascii="宋体" w:hAnsi="宋体" w:cs="Arial"/>
          <w:color w:val="auto"/>
          <w:szCs w:val="21"/>
        </w:rPr>
        <w:t>。</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hint="eastAsia" w:ascii="宋体" w:hAns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snapToGrid w:val="0"/>
        <w:spacing w:before="60" w:line="360" w:lineRule="auto"/>
        <w:ind w:left="718" w:hanging="718" w:hangingChars="342"/>
        <w:rPr>
          <w:color w:val="auto"/>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color w:val="auto"/>
        </w:rPr>
        <w:t>评标委员会根据“</w:t>
      </w:r>
      <w:r>
        <w:rPr>
          <w:rFonts w:hint="eastAsia"/>
          <w:color w:val="auto"/>
          <w:lang w:eastAsia="zh-CN"/>
        </w:rPr>
        <w:t>资格性、符合性评审表</w:t>
      </w:r>
      <w:r>
        <w:rPr>
          <w:rFonts w:hint="eastAsia"/>
          <w:color w:val="auto"/>
        </w:rPr>
        <w:t>”对投标文件的资格性和符合性进行评审，不能通过资格性审查的</w:t>
      </w:r>
      <w:r>
        <w:rPr>
          <w:rFonts w:hint="eastAsia"/>
          <w:color w:val="auto"/>
          <w:lang w:eastAsia="zh-CN"/>
        </w:rPr>
        <w:t>响应供应商</w:t>
      </w:r>
      <w:r>
        <w:rPr>
          <w:rFonts w:hint="eastAsia"/>
          <w:color w:val="auto"/>
        </w:rPr>
        <w:t>，无需进行符合性审查，只有对“投标文件初步评审表”所列各项作出实质性响应的投标文件才能通过初步评审。对是否实质性响应磋商文件的要求有争议的投标，评标委员会将以记名方式表决，得票超过半数的</w:t>
      </w:r>
      <w:r>
        <w:rPr>
          <w:rFonts w:hint="eastAsia"/>
          <w:color w:val="auto"/>
          <w:lang w:eastAsia="zh-CN"/>
        </w:rPr>
        <w:t>响应供应商</w:t>
      </w:r>
      <w:r>
        <w:rPr>
          <w:rFonts w:hint="eastAsia"/>
          <w:color w:val="auto"/>
        </w:rPr>
        <w:t>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w:t>
      </w:r>
      <w:r>
        <w:rPr>
          <w:rFonts w:hint="eastAsia" w:ascii="宋体" w:hAnsi="宋体" w:cs="Arial"/>
          <w:color w:val="auto"/>
          <w:szCs w:val="21"/>
          <w:lang w:eastAsia="zh-CN"/>
        </w:rPr>
        <w:t>响应供应商</w:t>
      </w:r>
      <w:r>
        <w:rPr>
          <w:rFonts w:hint="eastAsia" w:ascii="宋体" w:hAnsi="宋体" w:cs="Arial"/>
          <w:color w:val="auto"/>
          <w:szCs w:val="21"/>
        </w:rPr>
        <w:t>的</w:t>
      </w:r>
      <w:r>
        <w:rPr>
          <w:rFonts w:hint="eastAsia" w:ascii="宋体" w:hAnsi="宋体" w:cs="Arial"/>
          <w:color w:val="auto"/>
          <w:szCs w:val="21"/>
          <w:lang w:eastAsia="zh-CN"/>
        </w:rPr>
        <w:t>响应文件</w:t>
      </w:r>
      <w:r>
        <w:rPr>
          <w:rFonts w:hint="eastAsia" w:ascii="宋体" w:hAnsi="宋体" w:cs="Arial"/>
          <w:color w:val="auto"/>
          <w:szCs w:val="21"/>
        </w:rPr>
        <w:t>，据此与</w:t>
      </w:r>
      <w:r>
        <w:rPr>
          <w:rFonts w:hint="eastAsia" w:ascii="宋体" w:hAnsi="宋体" w:cs="Arial"/>
          <w:color w:val="auto"/>
          <w:szCs w:val="21"/>
          <w:lang w:eastAsia="zh-CN"/>
        </w:rPr>
        <w:t>响应供应商</w:t>
      </w:r>
      <w:r>
        <w:rPr>
          <w:rFonts w:hint="eastAsia" w:ascii="宋体" w:hAnsi="宋体" w:cs="Arial"/>
          <w:color w:val="auto"/>
          <w:szCs w:val="21"/>
        </w:rPr>
        <w:t>进行技术、商务、价格的澄清、修正和磋商，磋商中发现</w:t>
      </w:r>
      <w:r>
        <w:rPr>
          <w:rFonts w:hint="eastAsia" w:ascii="宋体" w:hAnsi="宋体" w:cs="Arial"/>
          <w:color w:val="auto"/>
          <w:szCs w:val="21"/>
          <w:lang w:eastAsia="zh-CN"/>
        </w:rPr>
        <w:t>响应供应商</w:t>
      </w:r>
      <w:r>
        <w:rPr>
          <w:rFonts w:hint="eastAsia" w:ascii="宋体" w:hAnsi="宋体" w:cs="Arial"/>
          <w:color w:val="auto"/>
          <w:szCs w:val="21"/>
        </w:rPr>
        <w:t>的</w:t>
      </w:r>
      <w:r>
        <w:rPr>
          <w:rFonts w:hint="eastAsia" w:ascii="宋体" w:hAnsi="宋体" w:cs="Arial"/>
          <w:color w:val="auto"/>
          <w:szCs w:val="21"/>
          <w:lang w:eastAsia="zh-CN"/>
        </w:rPr>
        <w:t>响应文件</w:t>
      </w:r>
      <w:r>
        <w:rPr>
          <w:rFonts w:hint="eastAsia" w:ascii="宋体" w:hAnsi="宋体" w:cs="Arial"/>
          <w:color w:val="auto"/>
          <w:szCs w:val="21"/>
        </w:rPr>
        <w:t>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w:t>
      </w:r>
      <w:r>
        <w:rPr>
          <w:rFonts w:hint="eastAsia" w:ascii="宋体" w:hAnsi="宋体" w:cs="Arial"/>
          <w:color w:val="auto"/>
          <w:szCs w:val="21"/>
          <w:lang w:eastAsia="zh-CN"/>
        </w:rPr>
        <w:t>响应供应商</w:t>
      </w:r>
      <w:r>
        <w:rPr>
          <w:rFonts w:hint="eastAsia" w:ascii="宋体" w:hAnsi="宋体" w:cs="Arial"/>
          <w:color w:val="auto"/>
          <w:szCs w:val="21"/>
        </w:rPr>
        <w:t>进行二轮报价，即在磋商后的第二次报价为最后报价。</w:t>
      </w:r>
      <w:r>
        <w:rPr>
          <w:rFonts w:hint="eastAsia" w:ascii="宋体" w:hAnsi="宋体" w:cs="Arial"/>
          <w:color w:val="auto"/>
          <w:szCs w:val="21"/>
          <w:lang w:val="en-US" w:eastAsia="zh-CN"/>
        </w:rPr>
        <w:t>根据财库[2015]124号，在采购过程中符合要求的响应供应商只有2家的，竞争性磋商采购活动继续进行，即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响应供应商</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w:t>
      </w:r>
      <w:r>
        <w:rPr>
          <w:rFonts w:hint="eastAsia" w:ascii="宋体"/>
          <w:color w:val="auto"/>
          <w:lang w:eastAsia="zh-CN"/>
        </w:rPr>
        <w:t>响应供应商</w:t>
      </w:r>
      <w:r>
        <w:rPr>
          <w:rFonts w:hint="eastAsia" w:ascii="宋体"/>
          <w:color w:val="auto"/>
        </w:rPr>
        <w:t>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w:t>
      </w:r>
      <w:r>
        <w:rPr>
          <w:rFonts w:hint="eastAsia" w:ascii="宋体"/>
          <w:color w:val="auto"/>
          <w:lang w:eastAsia="zh-CN"/>
        </w:rPr>
        <w:t>响应供应商</w:t>
      </w:r>
      <w:r>
        <w:rPr>
          <w:rFonts w:hint="eastAsia" w:ascii="宋体"/>
          <w:color w:val="auto"/>
        </w:rPr>
        <w:t>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w:t>
      </w:r>
      <w:r>
        <w:rPr>
          <w:rFonts w:hint="eastAsia" w:ascii="宋体"/>
          <w:color w:val="auto"/>
          <w:lang w:eastAsia="zh-CN"/>
        </w:rPr>
        <w:t>响应供应商</w:t>
      </w:r>
      <w:r>
        <w:rPr>
          <w:rFonts w:hint="eastAsia" w:ascii="宋体"/>
          <w:color w:val="auto"/>
        </w:rPr>
        <w:t>为第一中标候选</w:t>
      </w:r>
      <w:r>
        <w:rPr>
          <w:rFonts w:hint="eastAsia" w:ascii="宋体"/>
          <w:color w:val="auto"/>
          <w:lang w:eastAsia="zh-CN"/>
        </w:rPr>
        <w:t>响应供应商</w:t>
      </w:r>
      <w:r>
        <w:rPr>
          <w:rFonts w:hint="eastAsia" w:ascii="宋体"/>
          <w:color w:val="auto"/>
        </w:rPr>
        <w:t>，综合得分次高的</w:t>
      </w:r>
      <w:r>
        <w:rPr>
          <w:rFonts w:hint="eastAsia" w:ascii="宋体"/>
          <w:color w:val="auto"/>
          <w:lang w:eastAsia="zh-CN"/>
        </w:rPr>
        <w:t>响应供应商</w:t>
      </w:r>
      <w:r>
        <w:rPr>
          <w:rFonts w:hint="eastAsia" w:ascii="宋体"/>
          <w:color w:val="auto"/>
        </w:rPr>
        <w:t>为第二中标候选</w:t>
      </w:r>
      <w:r>
        <w:rPr>
          <w:rFonts w:hint="eastAsia" w:ascii="宋体"/>
          <w:color w:val="auto"/>
          <w:lang w:eastAsia="zh-CN"/>
        </w:rPr>
        <w:t>响应供应商</w:t>
      </w:r>
      <w:r>
        <w:rPr>
          <w:rFonts w:hint="eastAsia" w:ascii="宋体"/>
          <w:color w:val="auto"/>
        </w:rPr>
        <w:t>。</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评审：</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商务技术评分表</w:t>
      </w:r>
      <w:r>
        <w:rPr>
          <w:rFonts w:hint="eastAsia" w:ascii="宋体" w:hAnsi="宋体"/>
          <w:color w:val="auto"/>
        </w:rPr>
        <w:t>》；（按四舍五入原则取值并保留小数点后两位有效数字。）</w:t>
      </w:r>
    </w:p>
    <w:p>
      <w:pPr>
        <w:tabs>
          <w:tab w:val="left" w:pos="720"/>
          <w:tab w:val="left" w:pos="4013"/>
        </w:tabs>
        <w:snapToGrid w:val="0"/>
        <w:spacing w:before="60" w:line="360" w:lineRule="auto"/>
        <w:ind w:left="540" w:hanging="539" w:hangingChars="257"/>
        <w:rPr>
          <w:rFonts w:hint="eastAsia" w:ascii="宋体" w:eastAsia="宋体"/>
          <w:color w:val="auto"/>
          <w:szCs w:val="21"/>
          <w:lang w:eastAsia="zh-CN"/>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w:t>
      </w:r>
      <w:r>
        <w:rPr>
          <w:rFonts w:hint="eastAsia" w:ascii="宋体" w:hAnsi="宋体"/>
          <w:color w:val="auto"/>
          <w:szCs w:val="21"/>
          <w:lang w:eastAsia="zh-CN"/>
        </w:rPr>
        <w:t>响应供应商</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w:t>
      </w:r>
      <w:r>
        <w:rPr>
          <w:rFonts w:hint="eastAsia" w:ascii="宋体"/>
          <w:color w:val="auto"/>
          <w:lang w:eastAsia="zh-CN"/>
        </w:rPr>
        <w:t>响应供应商</w:t>
      </w:r>
      <w:r>
        <w:rPr>
          <w:rFonts w:hint="eastAsia" w:ascii="宋体"/>
          <w:color w:val="auto"/>
        </w:rPr>
        <w:t>为第一中标候选</w:t>
      </w:r>
      <w:r>
        <w:rPr>
          <w:rFonts w:hint="eastAsia" w:ascii="宋体"/>
          <w:color w:val="auto"/>
          <w:lang w:eastAsia="zh-CN"/>
        </w:rPr>
        <w:t>响应供应商</w:t>
      </w:r>
      <w:r>
        <w:rPr>
          <w:rFonts w:hint="eastAsia" w:ascii="宋体"/>
          <w:color w:val="auto"/>
        </w:rPr>
        <w:t>，综合得分次高的</w:t>
      </w:r>
      <w:r>
        <w:rPr>
          <w:rFonts w:hint="eastAsia" w:ascii="宋体"/>
          <w:color w:val="auto"/>
          <w:lang w:eastAsia="zh-CN"/>
        </w:rPr>
        <w:t>响应供应商</w:t>
      </w:r>
      <w:r>
        <w:rPr>
          <w:rFonts w:hint="eastAsia" w:ascii="宋体"/>
          <w:color w:val="auto"/>
        </w:rPr>
        <w:t>为第二中标候选</w:t>
      </w:r>
      <w:r>
        <w:rPr>
          <w:rFonts w:hint="eastAsia" w:ascii="宋体"/>
          <w:color w:val="auto"/>
          <w:lang w:eastAsia="zh-CN"/>
        </w:rPr>
        <w:t>响应供应商</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w:t>
      </w:r>
      <w:r>
        <w:rPr>
          <w:rFonts w:hint="eastAsia" w:ascii="宋体" w:hAnsi="宋体" w:cs="Arial"/>
          <w:color w:val="auto"/>
          <w:szCs w:val="21"/>
          <w:lang w:eastAsia="zh-CN"/>
        </w:rPr>
        <w:t>响应供应商</w:t>
      </w:r>
      <w:r>
        <w:rPr>
          <w:rFonts w:hint="eastAsia" w:ascii="宋体" w:hAnsi="宋体" w:cs="Arial"/>
          <w:color w:val="auto"/>
          <w:szCs w:val="21"/>
        </w:rPr>
        <w:t>与买方签订合同后止，凡与磋商、审查、澄清、评价、比较、确定成交人意见有关的内容，任何人均不得向</w:t>
      </w:r>
      <w:r>
        <w:rPr>
          <w:rFonts w:hint="eastAsia" w:ascii="宋体" w:hAnsi="宋体" w:cs="Arial"/>
          <w:color w:val="auto"/>
          <w:szCs w:val="21"/>
          <w:lang w:eastAsia="zh-CN"/>
        </w:rPr>
        <w:t>响应供应商</w:t>
      </w:r>
      <w:r>
        <w:rPr>
          <w:rFonts w:hint="eastAsia" w:ascii="宋体" w:hAnsi="宋体" w:cs="Arial"/>
          <w:color w:val="auto"/>
          <w:szCs w:val="21"/>
        </w:rPr>
        <w:t>及与磋商评审无关的其他人透露。</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w:t>
      </w:r>
      <w:r>
        <w:rPr>
          <w:rFonts w:hint="eastAsia" w:ascii="宋体" w:hAnsi="宋体" w:cs="Arial"/>
          <w:color w:val="auto"/>
          <w:szCs w:val="21"/>
          <w:lang w:eastAsia="zh-CN"/>
        </w:rPr>
        <w:t>响应供应商</w:t>
      </w:r>
      <w:r>
        <w:rPr>
          <w:rFonts w:hint="eastAsia" w:ascii="宋体" w:hAnsi="宋体" w:cs="Arial"/>
          <w:color w:val="auto"/>
          <w:szCs w:val="21"/>
        </w:rPr>
        <w:t>日止，</w:t>
      </w:r>
      <w:r>
        <w:rPr>
          <w:rFonts w:hint="eastAsia" w:ascii="宋体" w:hAnsi="宋体" w:cs="Arial"/>
          <w:color w:val="auto"/>
          <w:szCs w:val="21"/>
          <w:lang w:eastAsia="zh-CN"/>
        </w:rPr>
        <w:t>响应供应商</w:t>
      </w:r>
      <w:r>
        <w:rPr>
          <w:rFonts w:hint="eastAsia" w:ascii="宋体" w:hAnsi="宋体" w:cs="Arial"/>
          <w:color w:val="auto"/>
          <w:szCs w:val="21"/>
        </w:rPr>
        <w:t>不得与参加磋商、评审的有关人员私下接触。在磋商评审过程中，如果</w:t>
      </w:r>
      <w:r>
        <w:rPr>
          <w:rFonts w:hint="eastAsia" w:ascii="宋体" w:hAnsi="宋体" w:cs="Arial"/>
          <w:color w:val="auto"/>
          <w:szCs w:val="21"/>
          <w:lang w:eastAsia="zh-CN"/>
        </w:rPr>
        <w:t>响应供应商</w:t>
      </w:r>
      <w:r>
        <w:rPr>
          <w:rFonts w:hint="eastAsia" w:ascii="宋体" w:hAnsi="宋体" w:cs="Arial"/>
          <w:color w:val="auto"/>
          <w:szCs w:val="21"/>
        </w:rPr>
        <w:t>试图在</w:t>
      </w:r>
      <w:r>
        <w:rPr>
          <w:rFonts w:hint="eastAsia" w:ascii="宋体" w:hAnsi="宋体" w:cs="Arial"/>
          <w:color w:val="auto"/>
          <w:szCs w:val="21"/>
          <w:lang w:eastAsia="zh-CN"/>
        </w:rPr>
        <w:t>响应文件</w:t>
      </w:r>
      <w:r>
        <w:rPr>
          <w:rFonts w:hint="eastAsia" w:ascii="宋体" w:hAnsi="宋体" w:cs="Arial"/>
          <w:color w:val="auto"/>
          <w:szCs w:val="21"/>
        </w:rPr>
        <w:t>审查、澄清、比较及推荐成交</w:t>
      </w:r>
      <w:r>
        <w:rPr>
          <w:rFonts w:hint="eastAsia" w:ascii="宋体" w:hAnsi="宋体" w:cs="Arial"/>
          <w:color w:val="auto"/>
          <w:szCs w:val="21"/>
          <w:lang w:eastAsia="zh-CN"/>
        </w:rPr>
        <w:t>响应供应商</w:t>
      </w:r>
      <w:r>
        <w:rPr>
          <w:rFonts w:hint="eastAsia" w:ascii="宋体" w:hAnsi="宋体" w:cs="Arial"/>
          <w:color w:val="auto"/>
          <w:szCs w:val="21"/>
        </w:rPr>
        <w:t>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w:t>
      </w:r>
      <w:r>
        <w:rPr>
          <w:rFonts w:hint="eastAsia" w:ascii="宋体" w:hAnsi="宋体" w:cs="Arial"/>
          <w:color w:val="auto"/>
          <w:szCs w:val="21"/>
          <w:lang w:eastAsia="zh-CN"/>
        </w:rPr>
        <w:t>响应供应商</w:t>
      </w:r>
      <w:r>
        <w:rPr>
          <w:rFonts w:hint="eastAsia" w:ascii="宋体" w:hAnsi="宋体" w:cs="Arial"/>
          <w:color w:val="auto"/>
          <w:szCs w:val="21"/>
        </w:rPr>
        <w:t>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在竞争性磋商过程中，采购人有权变更服务方案或采购数量，如果</w:t>
      </w:r>
      <w:r>
        <w:rPr>
          <w:rFonts w:hint="eastAsia" w:ascii="宋体" w:hAnsi="宋体" w:cs="Arial"/>
          <w:color w:val="auto"/>
          <w:szCs w:val="21"/>
          <w:lang w:eastAsia="zh-CN"/>
        </w:rPr>
        <w:t>响应供应商</w:t>
      </w:r>
      <w:r>
        <w:rPr>
          <w:rFonts w:hint="eastAsia" w:ascii="宋体" w:hAnsi="宋体" w:cs="Arial"/>
          <w:color w:val="auto"/>
          <w:szCs w:val="21"/>
        </w:rPr>
        <w:t>根据采购人提出的变更要求调整方案或价格后未能获得合同，采购人和采购代理机构不承担任何责任。</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w:t>
      </w:r>
      <w:r>
        <w:rPr>
          <w:rFonts w:hint="eastAsia" w:ascii="宋体"/>
          <w:bCs w:val="0"/>
          <w:color w:val="auto"/>
          <w:kern w:val="2"/>
          <w:sz w:val="32"/>
          <w:szCs w:val="32"/>
          <w:lang w:eastAsia="zh-CN"/>
        </w:rPr>
        <w:t>响应供应商</w:t>
      </w:r>
      <w:r>
        <w:rPr>
          <w:rFonts w:hint="eastAsia" w:ascii="宋体"/>
          <w:bCs w:val="0"/>
          <w:color w:val="auto"/>
          <w:kern w:val="2"/>
          <w:sz w:val="32"/>
          <w:szCs w:val="32"/>
        </w:rPr>
        <w:t>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w:t>
      </w:r>
      <w:r>
        <w:rPr>
          <w:rFonts w:hint="eastAsia" w:ascii="宋体" w:hAnsi="宋体"/>
          <w:b/>
          <w:bCs/>
          <w:color w:val="auto"/>
          <w:szCs w:val="21"/>
          <w:lang w:eastAsia="zh-CN"/>
        </w:rPr>
        <w:t>响应供应商</w:t>
      </w:r>
      <w:r>
        <w:rPr>
          <w:rFonts w:hint="eastAsia" w:ascii="宋体" w:hAnsi="宋体"/>
          <w:b/>
          <w:bCs/>
          <w:color w:val="auto"/>
          <w:szCs w:val="21"/>
        </w:rPr>
        <w:t>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w:t>
      </w:r>
      <w:r>
        <w:rPr>
          <w:rFonts w:hint="eastAsia" w:ascii="宋体" w:hAnsi="宋体"/>
          <w:color w:val="auto"/>
          <w:szCs w:val="21"/>
          <w:lang w:eastAsia="zh-CN"/>
        </w:rPr>
        <w:t>响应供应商</w:t>
      </w:r>
      <w:r>
        <w:rPr>
          <w:rFonts w:hint="eastAsia" w:ascii="宋体" w:hAnsi="宋体"/>
          <w:color w:val="auto"/>
          <w:szCs w:val="21"/>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ascii="宋体" w:hAnsi="宋体"/>
          <w:color w:val="auto"/>
          <w:lang w:eastAsia="zh-CN"/>
        </w:rPr>
        <w:t>广东盈信招标代理有限公司</w:t>
      </w:r>
      <w:r>
        <w:rPr>
          <w:rFonts w:hint="eastAsia" w:ascii="宋体" w:hAnsi="宋体"/>
          <w:color w:val="auto"/>
        </w:rPr>
        <w:t>（http://www.ldyingxin.com）</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w:t>
      </w:r>
      <w:r>
        <w:rPr>
          <w:rFonts w:hint="eastAsia" w:ascii="宋体" w:hAnsi="宋体"/>
          <w:color w:val="auto"/>
          <w:szCs w:val="21"/>
          <w:lang w:eastAsia="zh-CN"/>
        </w:rPr>
        <w:t>响应供应商</w:t>
      </w:r>
      <w:r>
        <w:rPr>
          <w:rFonts w:hint="eastAsia" w:ascii="宋体" w:hAnsi="宋体"/>
          <w:color w:val="auto"/>
          <w:szCs w:val="21"/>
        </w:rPr>
        <w:t>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响应供应商</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响应供应商</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w:t>
      </w:r>
      <w:r>
        <w:rPr>
          <w:rFonts w:hint="eastAsia" w:ascii="宋体" w:hAnsi="宋体"/>
          <w:color w:val="auto"/>
          <w:lang w:eastAsia="zh-CN"/>
        </w:rPr>
        <w:t>响应供应商</w:t>
      </w:r>
      <w:r>
        <w:rPr>
          <w:rFonts w:hint="eastAsia" w:ascii="宋体" w:hAnsi="宋体"/>
          <w:color w:val="auto"/>
        </w:rPr>
        <w:t>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eastAsia="zh-CN"/>
        </w:rPr>
        <w:t>响应供应商</w:t>
      </w:r>
      <w:r>
        <w:rPr>
          <w:rFonts w:hint="eastAsia" w:ascii="宋体" w:hAnsi="宋体"/>
          <w:color w:val="auto"/>
          <w:szCs w:val="21"/>
        </w:rPr>
        <w:t>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w:t>
      </w:r>
      <w:r>
        <w:rPr>
          <w:rFonts w:hint="eastAsia" w:ascii="宋体" w:hAnsi="宋体"/>
          <w:color w:val="auto"/>
          <w:szCs w:val="21"/>
          <w:lang w:eastAsia="zh-CN"/>
        </w:rPr>
        <w:t>响应供应商</w:t>
      </w:r>
      <w:r>
        <w:rPr>
          <w:rFonts w:hint="eastAsia" w:ascii="宋体" w:hAnsi="宋体"/>
          <w:color w:val="auto"/>
          <w:szCs w:val="21"/>
        </w:rPr>
        <w:t>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唐先生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w:t>
            </w:r>
            <w:r>
              <w:rPr>
                <w:rFonts w:hint="eastAsia"/>
                <w:b/>
                <w:bCs/>
                <w:color w:val="auto"/>
                <w:lang w:eastAsia="zh-CN"/>
              </w:rPr>
              <w:t>响应供应商</w:t>
            </w:r>
            <w:r>
              <w:rPr>
                <w:rFonts w:hint="eastAsia"/>
                <w:b/>
                <w:bCs/>
                <w:color w:val="auto"/>
              </w:rPr>
              <w:t>基本信息</w:t>
            </w:r>
          </w:p>
          <w:p>
            <w:pPr>
              <w:widowControl w:val="0"/>
              <w:jc w:val="both"/>
              <w:rPr>
                <w:rFonts w:hint="eastAsia"/>
                <w:color w:val="auto"/>
              </w:rPr>
            </w:pPr>
            <w:r>
              <w:rPr>
                <w:rFonts w:hint="eastAsia"/>
                <w:color w:val="auto"/>
              </w:rPr>
              <w:t>质疑</w:t>
            </w:r>
            <w:r>
              <w:rPr>
                <w:rFonts w:hint="eastAsia"/>
                <w:color w:val="auto"/>
                <w:lang w:eastAsia="zh-CN"/>
              </w:rPr>
              <w:t>响应供应商</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pBdr>
                <w:bottom w:val="none" w:color="auto" w:sz="0" w:space="0"/>
              </w:pBdr>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pBdr>
                <w:bottom w:val="none" w:color="auto" w:sz="0" w:space="0"/>
              </w:pBdr>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jc w:val="both"/>
              <w:rPr>
                <w:rFonts w:hint="eastAsia"/>
                <w:color w:val="auto"/>
              </w:rPr>
            </w:pPr>
            <w:r>
              <w:rPr>
                <w:rFonts w:hint="eastAsia"/>
                <w:color w:val="auto"/>
              </w:rPr>
              <w:t>质疑事项2</w:t>
            </w:r>
          </w:p>
          <w:p>
            <w:pPr>
              <w:widowControl w:val="0"/>
              <w:pBdr>
                <w:bottom w:val="single" w:color="auto" w:sz="12" w:space="0"/>
              </w:pBdr>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pBdr>
                <w:bottom w:val="single" w:color="auto" w:sz="12" w:space="0"/>
              </w:pBdr>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pBdr>
                <w:bottom w:val="single" w:color="auto" w:sz="12" w:space="0"/>
              </w:pBdr>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widowControl w:val="0"/>
              <w:jc w:val="both"/>
              <w:rPr>
                <w:rFonts w:hint="eastAsia"/>
                <w:color w:val="auto"/>
                <w:u w:val="none"/>
                <w:lang w:val="en-US" w:eastAsia="zh-CN"/>
              </w:rPr>
            </w:pPr>
            <w:r>
              <w:rPr>
                <w:rFonts w:hint="eastAsia"/>
                <w:color w:val="auto"/>
                <w:u w:val="none"/>
                <w:lang w:val="en-US" w:eastAsia="zh-CN"/>
              </w:rPr>
              <w:t xml:space="preserve">                                                                                       </w:t>
            </w:r>
          </w:p>
          <w:p>
            <w:pPr>
              <w:widowControl w:val="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lang w:eastAsia="zh-CN"/>
              </w:rPr>
              <w:t>：</w:t>
            </w:r>
            <w:r>
              <w:rPr>
                <w:rFonts w:hint="eastAsia"/>
                <w:color w:val="auto"/>
                <w:lang w:val="en-US" w:eastAsia="zh-CN"/>
              </w:rPr>
              <w:t>_________________</w:t>
            </w:r>
          </w:p>
          <w:p>
            <w:pPr>
              <w:widowControl w:val="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lang w:eastAsia="zh-CN"/>
        </w:rPr>
        <w:t>响应供应商</w:t>
      </w:r>
      <w:r>
        <w:rPr>
          <w:rFonts w:hint="eastAsia" w:hAnsi="宋体"/>
          <w:color w:val="auto"/>
        </w:rPr>
        <w:t>对采购人或采购代理机构的答复不满意或他们未在规定时间内给予答复的，提出质疑的</w:t>
      </w:r>
      <w:r>
        <w:rPr>
          <w:rFonts w:hint="eastAsia" w:hAnsi="宋体"/>
          <w:color w:val="auto"/>
          <w:lang w:eastAsia="zh-CN"/>
        </w:rPr>
        <w:t>响应供应商</w:t>
      </w:r>
      <w:r>
        <w:rPr>
          <w:rFonts w:hint="eastAsia" w:hAnsi="宋体"/>
          <w:color w:val="auto"/>
        </w:rPr>
        <w:t>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响应供应商</w:t>
      </w:r>
      <w:r>
        <w:rPr>
          <w:rFonts w:hint="eastAsia" w:hAnsi="宋体"/>
          <w:color w:val="auto"/>
        </w:rPr>
        <w:t>发出《成交通知书》；中标</w:t>
      </w:r>
      <w:r>
        <w:rPr>
          <w:rFonts w:hint="eastAsia" w:hAnsi="宋体"/>
          <w:color w:val="auto"/>
          <w:lang w:eastAsia="zh-CN"/>
        </w:rPr>
        <w:t>响应供应商</w:t>
      </w:r>
      <w:r>
        <w:rPr>
          <w:rFonts w:hint="eastAsia" w:hAnsi="宋体"/>
          <w:color w:val="auto"/>
        </w:rPr>
        <w:t>收到《成交通知书》后以书面形式向采购代理机构确认。</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响应供应商</w:t>
      </w:r>
      <w:r>
        <w:rPr>
          <w:rFonts w:hint="eastAsia" w:hAnsi="宋体"/>
          <w:color w:val="auto"/>
        </w:rPr>
        <w:t>具有同等法律效力；《中标通知书》发出后，采购人改变中标结果，或者中标</w:t>
      </w:r>
      <w:r>
        <w:rPr>
          <w:rFonts w:hint="eastAsia" w:hAnsi="宋体"/>
          <w:color w:val="auto"/>
          <w:lang w:eastAsia="zh-CN"/>
        </w:rPr>
        <w:t>响应供应商</w:t>
      </w:r>
      <w:r>
        <w:rPr>
          <w:rFonts w:hint="eastAsia" w:hAnsi="宋体"/>
          <w:color w:val="auto"/>
        </w:rPr>
        <w:t>放弃中标的，均应承担相应的法律责任。</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响应供应商</w:t>
      </w:r>
      <w:r>
        <w:rPr>
          <w:rFonts w:hint="eastAsia" w:hAnsi="宋体"/>
          <w:color w:val="auto"/>
        </w:rPr>
        <w:t>发出《中标通知书》的同时，发布《招标结果公告》，将招标结果通知未中标</w:t>
      </w:r>
      <w:r>
        <w:rPr>
          <w:rFonts w:hint="eastAsia" w:hAnsi="宋体"/>
          <w:color w:val="auto"/>
          <w:lang w:eastAsia="zh-CN"/>
        </w:rPr>
        <w:t>响应供应商</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w:t>
      </w:r>
      <w:r>
        <w:rPr>
          <w:rFonts w:hint="eastAsia" w:ascii="宋体" w:hAnsi="宋体"/>
          <w:color w:val="auto"/>
          <w:szCs w:val="21"/>
          <w:lang w:eastAsia="zh-CN"/>
        </w:rPr>
        <w:t>响应供应商</w:t>
      </w:r>
      <w:r>
        <w:rPr>
          <w:rFonts w:hint="eastAsia" w:ascii="宋体" w:hAnsi="宋体"/>
          <w:color w:val="auto"/>
          <w:szCs w:val="21"/>
        </w:rPr>
        <w:t>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w:t>
      </w:r>
      <w:r>
        <w:rPr>
          <w:rFonts w:hint="eastAsia" w:ascii="宋体" w:hAnsi="宋体"/>
          <w:color w:val="auto"/>
          <w:szCs w:val="21"/>
          <w:lang w:eastAsia="zh-CN"/>
        </w:rPr>
        <w:t>响应供应商</w:t>
      </w:r>
      <w:r>
        <w:rPr>
          <w:rFonts w:hint="eastAsia" w:ascii="宋体" w:hAnsi="宋体"/>
          <w:color w:val="auto"/>
          <w:szCs w:val="21"/>
        </w:rPr>
        <w:t>的</w:t>
      </w:r>
      <w:r>
        <w:rPr>
          <w:rFonts w:hint="eastAsia" w:ascii="宋体" w:hAnsi="宋体"/>
          <w:color w:val="auto"/>
          <w:szCs w:val="21"/>
          <w:lang w:eastAsia="zh-CN"/>
        </w:rPr>
        <w:t>响应文件</w:t>
      </w:r>
      <w:r>
        <w:rPr>
          <w:rFonts w:hint="eastAsia" w:ascii="宋体" w:hAnsi="宋体"/>
          <w:color w:val="auto"/>
          <w:szCs w:val="21"/>
        </w:rPr>
        <w:t>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8"/>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服务</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5</w:t>
      </w: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eastAsia="zh-CN"/>
        </w:rPr>
        <w:t>3.2</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45</w:t>
      </w:r>
      <w:r>
        <w:rPr>
          <w:rFonts w:hint="eastAsia" w:ascii="宋体" w:hAnsi="宋体"/>
          <w:color w:val="auto"/>
        </w:rPr>
        <w:t>%＝</w:t>
      </w:r>
      <w:r>
        <w:rPr>
          <w:rFonts w:hint="eastAsia" w:ascii="宋体" w:hAnsi="宋体"/>
          <w:color w:val="auto"/>
          <w:lang w:val="en-US" w:eastAsia="zh-CN"/>
        </w:rPr>
        <w:t>2.25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1.5</w:t>
      </w:r>
      <w:r>
        <w:rPr>
          <w:rFonts w:hint="eastAsia" w:ascii="宋体" w:hAnsi="宋体"/>
          <w:color w:val="auto"/>
        </w:rPr>
        <w:t>＋</w:t>
      </w:r>
      <w:r>
        <w:rPr>
          <w:rFonts w:hint="eastAsia" w:hAnsi="宋体"/>
          <w:color w:val="auto"/>
          <w:lang w:val="en-US" w:eastAsia="zh-CN"/>
        </w:rPr>
        <w:t>3.2</w:t>
      </w:r>
      <w:r>
        <w:rPr>
          <w:rFonts w:hint="eastAsia" w:ascii="宋体" w:hAnsi="宋体"/>
          <w:color w:val="auto"/>
        </w:rPr>
        <w:t>＋</w:t>
      </w:r>
      <w:r>
        <w:rPr>
          <w:rFonts w:hint="eastAsia" w:hAnsi="宋体"/>
          <w:color w:val="auto"/>
          <w:lang w:val="en-US" w:eastAsia="zh-CN"/>
        </w:rPr>
        <w:t>2.25</w:t>
      </w:r>
      <w:r>
        <w:rPr>
          <w:rFonts w:hint="eastAsia" w:ascii="宋体" w:hAnsi="宋体"/>
          <w:color w:val="auto"/>
        </w:rPr>
        <w:t>＝</w:t>
      </w:r>
      <w:r>
        <w:rPr>
          <w:rFonts w:hint="eastAsia" w:hAnsi="宋体"/>
          <w:color w:val="auto"/>
          <w:lang w:val="en-US" w:eastAsia="zh-CN"/>
        </w:rPr>
        <w:t>6.95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spacing w:line="480" w:lineRule="exact"/>
        <w:rPr>
          <w:rFonts w:hint="eastAsia" w:ascii="宋体" w:hAnsi="宋体" w:cs="宋体"/>
          <w:b/>
          <w:bCs/>
          <w:color w:val="auto"/>
          <w:sz w:val="32"/>
          <w:szCs w:val="32"/>
        </w:rPr>
      </w:pPr>
      <w:bookmarkStart w:id="40" w:name="_GoBack"/>
      <w:bookmarkEnd w:id="40"/>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响应供应商</w:t>
      </w:r>
      <w:r>
        <w:rPr>
          <w:rFonts w:hint="eastAsia" w:ascii="宋体" w:hAnsi="宋体" w:cs="宋体"/>
          <w:color w:val="auto"/>
        </w:rPr>
        <w:t>透露招标工作的内部秘密，如：</w:t>
      </w:r>
      <w:r>
        <w:rPr>
          <w:rFonts w:hint="eastAsia" w:ascii="宋体" w:hAnsi="宋体" w:cs="宋体"/>
          <w:color w:val="auto"/>
          <w:lang w:eastAsia="zh-CN"/>
        </w:rPr>
        <w:t>响应供应商</w:t>
      </w:r>
      <w:r>
        <w:rPr>
          <w:rFonts w:hint="eastAsia" w:ascii="宋体" w:hAnsi="宋体" w:cs="宋体"/>
          <w:color w:val="auto"/>
        </w:rPr>
        <w:t>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w:t>
      </w:r>
      <w:r>
        <w:rPr>
          <w:rFonts w:hint="eastAsia" w:ascii="宋体" w:hAnsi="宋体" w:cs="宋体"/>
          <w:color w:val="auto"/>
          <w:lang w:eastAsia="zh-CN"/>
        </w:rPr>
        <w:t>响应供应商</w:t>
      </w:r>
      <w:r>
        <w:rPr>
          <w:rFonts w:hint="eastAsia" w:ascii="宋体" w:hAnsi="宋体" w:cs="宋体"/>
          <w:color w:val="auto"/>
        </w:rPr>
        <w:t>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hint="eastAsia" w:ascii="宋体" w:hAnsi="宋体" w:cs="宋体"/>
          <w:color w:val="auto"/>
        </w:rPr>
        <w:t>4）任何一方不应私自与</w:t>
      </w:r>
      <w:r>
        <w:rPr>
          <w:rFonts w:hint="eastAsia" w:ascii="宋体" w:hAnsi="宋体" w:cs="宋体"/>
          <w:color w:val="auto"/>
          <w:lang w:eastAsia="zh-CN"/>
        </w:rPr>
        <w:t>响应供应商</w:t>
      </w:r>
      <w:r>
        <w:rPr>
          <w:rFonts w:hint="eastAsia" w:ascii="宋体" w:hAnsi="宋体" w:cs="宋体"/>
          <w:color w:val="auto"/>
        </w:rPr>
        <w:t>就本投标内容进行单方接触或谈判。因工作需要或业务目的的任何对外活动均应事前、事后互相知会与沟通情况，以使工作协调；</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hint="eastAsia" w:ascii="宋体" w:hAnsi="宋体" w:cs="宋体"/>
          <w:color w:val="auto"/>
        </w:rPr>
        <w:t>5）凡因单方泄露情况而导致工作不能顺利进行或无法进行，均视为对项目和对方利益的侵害，责任应由泄密方承担。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rFonts w:hint="eastAsia"/>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ascii="宋体" w:hAnsi="宋体" w:eastAsia="宋体" w:cs="宋体"/>
          <w:color w:val="auto"/>
          <w:kern w:val="0"/>
          <w:sz w:val="21"/>
          <w:szCs w:val="20"/>
          <w:lang w:val="en-US" w:eastAsia="zh-CN" w:bidi="ar-SA"/>
        </w:rPr>
        <w:t xml:space="preserve"> 本磋商文件的解释权归广东盈信招标代理有限公司所有。</w:t>
      </w:r>
      <w:r>
        <w:rPr>
          <w:color w:val="auto"/>
        </w:rPr>
        <w:t xml:space="preserve"> </w:t>
      </w:r>
    </w:p>
    <w:p>
      <w:pPr>
        <w:pStyle w:val="3"/>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jc w:val="center"/>
        <w:textAlignment w:val="auto"/>
        <w:rPr>
          <w:b/>
          <w:bCs/>
          <w:sz w:val="36"/>
          <w:szCs w:val="32"/>
        </w:rPr>
      </w:pPr>
      <w:r>
        <w:rPr>
          <w:rFonts w:hint="eastAsia"/>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ascii="宋体" w:cs="宋体"/>
          <w:color w:val="000000"/>
          <w:spacing w:val="1"/>
          <w:sz w:val="24"/>
        </w:rPr>
      </w:pPr>
      <w:r>
        <w:rPr>
          <w:rFonts w:hint="eastAsia" w:ascii="宋体" w:hAnsi="宋体" w:cs="宋体"/>
          <w:b/>
          <w:color w:val="000000"/>
          <w:spacing w:val="1"/>
          <w:sz w:val="30"/>
          <w:lang w:eastAsia="zh-CN"/>
        </w:rPr>
        <w:t>资格性、符合性</w:t>
      </w:r>
      <w:r>
        <w:rPr>
          <w:rFonts w:hint="eastAsia" w:ascii="宋体" w:hAnsi="宋体" w:cs="宋体"/>
          <w:b/>
          <w:color w:val="000000"/>
          <w:spacing w:val="1"/>
          <w:sz w:val="30"/>
        </w:rPr>
        <w:t>评审表</w:t>
      </w:r>
    </w:p>
    <w:tbl>
      <w:tblPr>
        <w:tblStyle w:val="28"/>
        <w:tblpPr w:leftFromText="180" w:rightFromText="180" w:vertAnchor="page" w:horzAnchor="page" w:tblpX="1253" w:tblpY="6159"/>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22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0" w:type="dxa"/>
            <w:noWrap w:val="0"/>
            <w:vAlign w:val="center"/>
          </w:tcPr>
          <w:p>
            <w:pPr>
              <w:keepNext w:val="0"/>
              <w:keepLines w:val="0"/>
              <w:widowControl/>
              <w:suppressLineNumbers w:val="0"/>
              <w:spacing w:before="0" w:beforeAutospacing="0" w:after="0" w:afterAutospacing="0"/>
              <w:ind w:left="0" w:right="0"/>
              <w:jc w:val="center"/>
              <w:rPr>
                <w:rFonts w:hint="default" w:ascii="宋体" w:cs="宋体"/>
                <w:b/>
                <w:sz w:val="24"/>
              </w:rPr>
            </w:pPr>
            <w:r>
              <w:rPr>
                <w:rFonts w:hint="eastAsia" w:ascii="宋体" w:hAnsi="宋体" w:cs="宋体"/>
                <w:b/>
                <w:sz w:val="24"/>
              </w:rPr>
              <w:t>序号</w:t>
            </w:r>
          </w:p>
        </w:tc>
        <w:tc>
          <w:tcPr>
            <w:tcW w:w="722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r>
              <w:rPr>
                <w:rFonts w:hint="eastAsia" w:ascii="宋体" w:hAnsi="宋体" w:cs="宋体"/>
                <w:b/>
                <w:color w:val="000000"/>
                <w:spacing w:val="1"/>
                <w:sz w:val="24"/>
              </w:rPr>
              <w:t>评审内容</w:t>
            </w: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响应供应商</w:t>
            </w:r>
            <w:r>
              <w:rPr>
                <w:rFonts w:hint="eastAsia" w:ascii="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具备招标文件中规定资格要求的及资格证明文件齐全；</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磋商函</w:t>
            </w:r>
            <w:r>
              <w:rPr>
                <w:rFonts w:hint="eastAsia" w:ascii="宋体" w:hAnsi="宋体" w:eastAsia="宋体" w:cs="宋体"/>
                <w:color w:val="000000"/>
                <w:kern w:val="0"/>
                <w:sz w:val="21"/>
                <w:szCs w:val="21"/>
                <w:lang w:val="en-US" w:eastAsia="zh-CN" w:bidi="ar"/>
              </w:rPr>
              <w:t>已提交并符合招标文件要求的；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按照招标文件规定要求签署、盖章且响应文件有法定代表人签字，或签字人有法定代表人有效授权书的；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首次报价未超过本项目的最高限价的；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响应文件完全满足招标文件实质性条款，无不响应或负偏离的；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响应文件没有招标文件中规定的其它无效投标条款的；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hAnsi="宋体" w:cs="宋体"/>
                <w:color w:val="000000"/>
                <w:spacing w:val="1"/>
                <w:sz w:val="24"/>
                <w:lang w:val="en-US" w:eastAsia="zh-CN"/>
              </w:rPr>
            </w:pPr>
            <w:r>
              <w:rPr>
                <w:rFonts w:hint="eastAsia" w:ascii="宋体" w:hAnsi="宋体" w:cs="宋体"/>
                <w:color w:val="000000"/>
                <w:spacing w:val="1"/>
                <w:sz w:val="24"/>
                <w:lang w:val="en-US" w:eastAsia="zh-CN"/>
              </w:rPr>
              <w:t>7</w:t>
            </w:r>
          </w:p>
        </w:tc>
        <w:tc>
          <w:tcPr>
            <w:tcW w:w="7226"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按有关法律、法规、规章不属于投标无效的。</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326" w:type="dxa"/>
            <w:gridSpan w:val="2"/>
            <w:noWrap w:val="0"/>
            <w:vAlign w:val="top"/>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 w:val="24"/>
              </w:rPr>
            </w:pPr>
            <w:r>
              <w:rPr>
                <w:rFonts w:hint="eastAsia" w:ascii="宋体" w:hAnsi="宋体" w:cs="宋体"/>
                <w:color w:val="000000"/>
                <w:spacing w:val="1"/>
                <w:sz w:val="24"/>
              </w:rPr>
              <w:t>结</w:t>
            </w:r>
            <w:r>
              <w:rPr>
                <w:rFonts w:hint="default" w:ascii="宋体" w:hAnsi="宋体" w:cs="宋体"/>
                <w:color w:val="000000"/>
                <w:spacing w:val="1"/>
                <w:sz w:val="24"/>
              </w:rPr>
              <w:t xml:space="preserve">   </w:t>
            </w:r>
            <w:r>
              <w:rPr>
                <w:rFonts w:hint="eastAsia" w:ascii="宋体" w:hAnsi="宋体" w:cs="宋体"/>
                <w:color w:val="000000"/>
                <w:spacing w:val="1"/>
                <w:sz w:val="24"/>
              </w:rPr>
              <w:t>论</w:t>
            </w:r>
          </w:p>
        </w:tc>
        <w:tc>
          <w:tcPr>
            <w:tcW w:w="1273"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bl>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hint="eastAsia" w:ascii="宋体" w:hAnsi="宋体" w:cs="宋体"/>
          <w:b/>
          <w:color w:val="auto"/>
          <w:spacing w:val="1"/>
          <w:szCs w:val="21"/>
        </w:rPr>
      </w:pP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ascii="宋体" w:hAnsi="宋体" w:cs="宋体"/>
          <w:b/>
          <w:color w:val="auto"/>
          <w:spacing w:val="1"/>
          <w:szCs w:val="21"/>
        </w:rPr>
      </w:pPr>
      <w:r>
        <w:rPr>
          <w:rFonts w:hint="eastAsia" w:ascii="宋体" w:hAnsi="宋体" w:cs="宋体"/>
          <w:b/>
          <w:color w:val="auto"/>
          <w:spacing w:val="1"/>
          <w:szCs w:val="21"/>
        </w:rPr>
        <w:t>1、表中只需填写“</w:t>
      </w:r>
      <w:r>
        <w:rPr>
          <w:rFonts w:hint="eastAsia" w:ascii="宋体" w:hAnsi="宋体" w:cs="宋体"/>
          <w:b/>
          <w:color w:val="auto"/>
          <w:spacing w:val="1"/>
          <w:szCs w:val="21"/>
          <w:lang w:eastAsia="zh-CN"/>
        </w:rPr>
        <w:t>√</w:t>
      </w:r>
      <w:r>
        <w:rPr>
          <w:rFonts w:hint="eastAsia" w:ascii="宋体" w:hAnsi="宋体" w:cs="宋体"/>
          <w:b/>
          <w:color w:val="auto"/>
          <w:spacing w:val="1"/>
          <w:szCs w:val="21"/>
        </w:rPr>
        <w:t>/通过”或“×/不通过”；</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黑体" w:eastAsia="黑体"/>
          <w:b/>
          <w:color w:val="auto"/>
          <w:sz w:val="44"/>
        </w:rPr>
      </w:pPr>
      <w:r>
        <w:rPr>
          <w:rFonts w:hint="eastAsia" w:ascii="宋体" w:hAnsi="宋体" w:cs="宋体"/>
          <w:b/>
          <w:color w:val="auto"/>
          <w:spacing w:val="1"/>
          <w:szCs w:val="21"/>
        </w:rPr>
        <w:t>2、在结论栏中按“一票否决”填写“通过”或“不通过”。</w:t>
      </w:r>
    </w:p>
    <w:p>
      <w:pPr>
        <w:rPr>
          <w:rFonts w:hint="eastAsia"/>
          <w:lang w:val="en-US" w:eastAsia="zh-CN"/>
        </w:rPr>
      </w:pPr>
    </w:p>
    <w:p>
      <w:pPr>
        <w:pStyle w:val="4"/>
        <w:numPr>
          <w:ilvl w:val="0"/>
          <w:numId w:val="0"/>
        </w:numPr>
        <w:ind w:left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商务技术评分表（</w:t>
      </w:r>
      <w:r>
        <w:rPr>
          <w:rFonts w:hint="eastAsia" w:ascii="宋体" w:hAnsi="宋体" w:cs="宋体"/>
          <w:b/>
          <w:bCs/>
          <w:sz w:val="28"/>
          <w:szCs w:val="24"/>
          <w:lang w:val="en-US" w:eastAsia="zh-CN"/>
        </w:rPr>
        <w:t>90</w:t>
      </w:r>
      <w:r>
        <w:rPr>
          <w:rFonts w:hint="eastAsia" w:ascii="宋体" w:hAnsi="宋体" w:eastAsia="宋体" w:cs="宋体"/>
          <w:b/>
          <w:bCs/>
          <w:sz w:val="28"/>
          <w:szCs w:val="24"/>
          <w:lang w:val="en-US" w:eastAsia="zh-CN"/>
        </w:rPr>
        <w:t>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项目名称： </w:t>
      </w:r>
      <w:r>
        <w:rPr>
          <w:rFonts w:hint="eastAsia" w:ascii="宋体" w:hAnsi="宋体" w:cs="宋体"/>
          <w:lang w:val="en-US" w:eastAsia="zh-CN"/>
        </w:rPr>
        <w:t>云浮市生态环境局罗定分局2021年建设项目环境影响报告书（表）技术评估服务项目</w:t>
      </w:r>
    </w:p>
    <w:p>
      <w:pPr>
        <w:pStyle w:val="2"/>
        <w:spacing w:line="360" w:lineRule="auto"/>
        <w:jc w:val="center"/>
        <w:rPr>
          <w:rFonts w:hint="eastAsia" w:cs="宋体"/>
          <w:b/>
          <w:bCs/>
          <w:lang w:val="en-US" w:eastAsia="zh-CN"/>
        </w:rPr>
      </w:pPr>
      <w:r>
        <w:rPr>
          <w:rFonts w:hint="eastAsia" w:cs="宋体"/>
          <w:b/>
          <w:bCs/>
          <w:lang w:val="en-US" w:eastAsia="zh-CN"/>
        </w:rPr>
        <w:t>技术评分表（30分）</w:t>
      </w:r>
    </w:p>
    <w:tbl>
      <w:tblPr>
        <w:tblStyle w:val="28"/>
        <w:tblW w:w="9683" w:type="dxa"/>
        <w:tblInd w:w="15" w:type="dxa"/>
        <w:tblLayout w:type="fixed"/>
        <w:tblCellMar>
          <w:top w:w="0" w:type="dxa"/>
          <w:left w:w="0" w:type="dxa"/>
          <w:bottom w:w="0" w:type="dxa"/>
          <w:right w:w="0" w:type="dxa"/>
        </w:tblCellMar>
      </w:tblPr>
      <w:tblGrid>
        <w:gridCol w:w="616"/>
        <w:gridCol w:w="1575"/>
        <w:gridCol w:w="664"/>
        <w:gridCol w:w="6828"/>
      </w:tblGrid>
      <w:tr>
        <w:tblPrEx>
          <w:tblCellMar>
            <w:top w:w="0" w:type="dxa"/>
            <w:left w:w="0" w:type="dxa"/>
            <w:bottom w:w="0" w:type="dxa"/>
            <w:right w:w="0" w:type="dxa"/>
          </w:tblCellMar>
        </w:tblPrEx>
        <w:trPr>
          <w:trHeight w:val="602"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评审标准</w:t>
            </w:r>
          </w:p>
        </w:tc>
      </w:tr>
      <w:tr>
        <w:tblPrEx>
          <w:tblCellMar>
            <w:top w:w="0" w:type="dxa"/>
            <w:left w:w="0" w:type="dxa"/>
            <w:bottom w:w="0" w:type="dxa"/>
            <w:right w:w="0" w:type="dxa"/>
          </w:tblCellMar>
        </w:tblPrEx>
        <w:trPr>
          <w:trHeight w:val="2483"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项目组织实施方案</w:t>
            </w:r>
          </w:p>
        </w:tc>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48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考查、对比项目组织实施方案，根据项目组织实施方案（包括项目解决技术方案、项目重点、难点分析及应对措施）</w:t>
            </w:r>
            <w:r>
              <w:rPr>
                <w:rFonts w:hint="eastAsia" w:ascii="宋体" w:hAnsi="宋体" w:eastAsia="宋体" w:cs="宋体"/>
                <w:kern w:val="0"/>
                <w:sz w:val="21"/>
                <w:szCs w:val="21"/>
                <w:lang w:eastAsia="zh-CN"/>
              </w:rPr>
              <w:t>进行对比评审：</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1)项目</w:t>
            </w:r>
            <w:r>
              <w:rPr>
                <w:rFonts w:hint="eastAsia" w:ascii="宋体" w:hAnsi="宋体" w:eastAsia="宋体" w:cs="宋体"/>
                <w:kern w:val="0"/>
                <w:sz w:val="21"/>
                <w:szCs w:val="21"/>
                <w:lang w:eastAsia="zh-CN"/>
              </w:rPr>
              <w:t>组织</w:t>
            </w:r>
            <w:r>
              <w:rPr>
                <w:rFonts w:hint="eastAsia" w:ascii="宋体" w:hAnsi="宋体" w:eastAsia="宋体" w:cs="宋体"/>
                <w:kern w:val="0"/>
                <w:sz w:val="21"/>
                <w:szCs w:val="21"/>
              </w:rPr>
              <w:t>实施方案涵盖以上内容,逻辑清楚、内容完善,实施方法清晰、准确、完整，措施具体、针对性强的,得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 xml:space="preserve">分； </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2）项目</w:t>
            </w:r>
            <w:r>
              <w:rPr>
                <w:rFonts w:hint="eastAsia" w:ascii="宋体" w:hAnsi="宋体" w:eastAsia="宋体" w:cs="宋体"/>
                <w:kern w:val="0"/>
                <w:sz w:val="21"/>
                <w:szCs w:val="21"/>
                <w:lang w:eastAsia="zh-CN"/>
              </w:rPr>
              <w:t>组织</w:t>
            </w:r>
            <w:r>
              <w:rPr>
                <w:rFonts w:hint="eastAsia" w:ascii="宋体" w:hAnsi="宋体" w:eastAsia="宋体" w:cs="宋体"/>
                <w:kern w:val="0"/>
                <w:sz w:val="21"/>
                <w:szCs w:val="21"/>
              </w:rPr>
              <w:t>实施方案涵盖以上内容,逻辑清楚、内容完善,实施方法比较清晰、准确、完整，措施比较具体、针对性比较强的,得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分；  </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组织</w:t>
            </w:r>
            <w:r>
              <w:rPr>
                <w:rFonts w:hint="eastAsia" w:ascii="宋体" w:hAnsi="宋体" w:eastAsia="宋体" w:cs="宋体"/>
                <w:kern w:val="0"/>
                <w:sz w:val="21"/>
                <w:szCs w:val="21"/>
              </w:rPr>
              <w:t>实施方案涵盖以上内容,逻辑不清或内容不全,实施方法不清晰、不准确、不完整，措施不具体、针对性差的,得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）不提供不得分。</w:t>
            </w:r>
          </w:p>
        </w:tc>
      </w:tr>
      <w:tr>
        <w:tblPrEx>
          <w:tblCellMar>
            <w:top w:w="0" w:type="dxa"/>
            <w:left w:w="0" w:type="dxa"/>
            <w:bottom w:w="0" w:type="dxa"/>
            <w:right w:w="0" w:type="dxa"/>
          </w:tblCellMar>
        </w:tblPrEx>
        <w:trPr>
          <w:trHeight w:val="7310"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质量保证措施</w:t>
            </w:r>
          </w:p>
          <w:p>
            <w:pPr>
              <w:spacing w:line="480" w:lineRule="exact"/>
              <w:jc w:val="center"/>
              <w:rPr>
                <w:rFonts w:hint="eastAsia" w:ascii="宋体" w:hAnsi="宋体" w:eastAsia="宋体" w:cs="宋体"/>
                <w:kern w:val="0"/>
                <w:sz w:val="21"/>
                <w:szCs w:val="21"/>
              </w:rPr>
            </w:pPr>
          </w:p>
        </w:tc>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根据响应供应商针对本项目提供质量保证措施及承诺进行评审：</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1、服务质量保证计划全面细致、结合实际、措施具体，责任到人，质量管理体系规范、合理，材料管理措施科学、系统，承诺服务质量标准高的，得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2、服务质量保证计划比较全面细致、比较结合实际、措施比较具体，责任到人，质量管理体系比较规范、比较合理，材料管理措施比较科学、比较系统，承诺服务质量标准比较高的，得</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3、服务质量保证计划基本全面细致、基本结合实际、措施基本可行，责任基本到人，质量管理体系基本规范、基本合理，材料管理措施基本科学、基本系统，承诺服务质量标准基本能满足项目要求的，得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4、服务质量保证计划不全面细致、不结合实际、措施不具体，责任未到人，质量管理体系不规范、不合理，材料管理措施不科学、不系统，承诺服务质量标准不能满足项目要求的，得1分；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5、没有或不提供的不得分。</w:t>
            </w:r>
          </w:p>
        </w:tc>
      </w:tr>
      <w:tr>
        <w:tblPrEx>
          <w:tblCellMar>
            <w:top w:w="0" w:type="dxa"/>
            <w:left w:w="0" w:type="dxa"/>
            <w:bottom w:w="0" w:type="dxa"/>
            <w:right w:w="0" w:type="dxa"/>
          </w:tblCellMar>
        </w:tblPrEx>
        <w:trPr>
          <w:trHeight w:val="372"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进度控制措施</w:t>
            </w:r>
          </w:p>
        </w:tc>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根据各投标人提供的方案与采购人的用户需求进行对比评审： </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1、进度控制措施编制合理、可行，各阶段工期进度计划清晰、准确、完整，资源配备计划及组织协调工作措施合理、得力、可操作性强，保证措施可靠的， 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 xml:space="preserve"> 分。</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2、进度控制措施编制基本合理、可行，各阶段工期进度计划基本清晰、准确、完整，资源配备计划及组织协调工作措施基本合理、基本得力、可操作性基本满足项目要求，保证措施基本可靠的，得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分。 </w:t>
            </w:r>
          </w:p>
          <w:p>
            <w:pPr>
              <w:spacing w:line="480" w:lineRule="exact"/>
              <w:rPr>
                <w:rFonts w:hint="eastAsia" w:ascii="宋体" w:hAnsi="宋体" w:eastAsia="宋体" w:cs="宋体"/>
                <w:kern w:val="0"/>
                <w:sz w:val="21"/>
                <w:szCs w:val="21"/>
              </w:rPr>
            </w:pPr>
            <w:r>
              <w:rPr>
                <w:rFonts w:hint="eastAsia" w:ascii="宋体" w:hAnsi="宋体" w:eastAsia="宋体" w:cs="宋体"/>
                <w:kern w:val="0"/>
                <w:sz w:val="21"/>
                <w:szCs w:val="21"/>
              </w:rPr>
              <w:t>3、进度控制措施编制不合理、不可行，各阶段工期进度计划不清晰、不准确、不完整，资源配备计划及组织协调工作措施不合理、不得力、不具有可操作性，保证措施不可靠的，得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 （不提供不得分）。</w:t>
            </w:r>
          </w:p>
          <w:p>
            <w:pPr>
              <w:spacing w:line="480" w:lineRule="exact"/>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62" w:hRule="atLeast"/>
        </w:trPr>
        <w:tc>
          <w:tcPr>
            <w:tcW w:w="2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74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30分</w:t>
            </w:r>
          </w:p>
        </w:tc>
      </w:tr>
    </w:tbl>
    <w:p>
      <w:pPr>
        <w:numPr>
          <w:ilvl w:val="0"/>
          <w:numId w:val="0"/>
        </w:numPr>
        <w:tabs>
          <w:tab w:val="left" w:pos="709"/>
        </w:tabs>
        <w:snapToGrid w:val="0"/>
        <w:spacing w:line="360" w:lineRule="auto"/>
        <w:ind w:left="284" w:leftChars="0" w:right="84" w:rightChars="40"/>
        <w:rPr>
          <w:rFonts w:hint="eastAsia" w:ascii="宋体" w:hAnsi="宋体" w:cs="宋体"/>
          <w:snapToGrid w:val="0"/>
          <w:kern w:val="0"/>
          <w:szCs w:val="21"/>
          <w:lang w:val="en-US" w:eastAsia="zh-CN"/>
        </w:rPr>
      </w:pPr>
      <w:r>
        <w:rPr>
          <w:rFonts w:hint="eastAsia" w:ascii="宋体" w:hAnsi="宋体" w:cs="宋体"/>
          <w:snapToGrid w:val="0"/>
          <w:kern w:val="0"/>
          <w:szCs w:val="21"/>
        </w:rPr>
        <w:t>备注：</w:t>
      </w:r>
      <w:r>
        <w:rPr>
          <w:rFonts w:hint="eastAsia" w:ascii="宋体" w:hAnsi="宋体" w:cs="宋体"/>
          <w:snapToGrid w:val="0"/>
          <w:kern w:val="0"/>
          <w:szCs w:val="21"/>
          <w:lang w:val="en-US" w:eastAsia="zh-CN"/>
        </w:rPr>
        <w:t>1. 磋商文件要求提交的与评价指标体系相关的各类有效资料，响应供应商如未按要求提交的，该项评分为零分。</w:t>
      </w:r>
    </w:p>
    <w:p>
      <w:pPr>
        <w:numPr>
          <w:ilvl w:val="0"/>
          <w:numId w:val="0"/>
        </w:numPr>
        <w:tabs>
          <w:tab w:val="left" w:pos="709"/>
        </w:tabs>
        <w:snapToGrid w:val="0"/>
        <w:spacing w:line="360" w:lineRule="auto"/>
        <w:ind w:left="284" w:leftChars="0" w:right="84" w:rightChars="40"/>
        <w:rPr>
          <w:rFonts w:hint="eastAsia" w:ascii="宋体" w:hAnsi="宋体" w:eastAsia="宋体" w:cs="宋体"/>
          <w:lang w:val="en-US" w:eastAsia="zh-CN"/>
        </w:rPr>
      </w:pPr>
      <w:r>
        <w:rPr>
          <w:rFonts w:hint="eastAsia" w:ascii="宋体" w:hAnsi="宋体" w:cs="宋体"/>
          <w:snapToGrid w:val="0"/>
          <w:kern w:val="0"/>
          <w:szCs w:val="21"/>
          <w:lang w:val="en-US" w:eastAsia="zh-CN"/>
        </w:rPr>
        <w:t>2. 技术评分：所有评委评分分值的算术平均值（四舍五入后，小数点后保留两位有效数）。</w:t>
      </w: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cs="宋体"/>
          <w:b/>
          <w:bCs/>
          <w:lang w:val="en-US" w:eastAsia="zh-CN"/>
        </w:rPr>
      </w:pPr>
    </w:p>
    <w:p>
      <w:pPr>
        <w:pStyle w:val="2"/>
        <w:spacing w:line="360" w:lineRule="auto"/>
        <w:jc w:val="center"/>
        <w:rPr>
          <w:rFonts w:hint="eastAsia" w:ascii="宋体" w:hAnsi="宋体" w:eastAsia="宋体" w:cs="宋体"/>
          <w:b/>
          <w:bCs/>
          <w:lang w:val="en-US" w:eastAsia="zh-CN"/>
        </w:rPr>
      </w:pPr>
      <w:r>
        <w:rPr>
          <w:rFonts w:hint="eastAsia" w:cs="宋体"/>
          <w:b/>
          <w:bCs/>
          <w:lang w:val="en-US" w:eastAsia="zh-CN"/>
        </w:rPr>
        <w:t>商务评分表（60分）</w:t>
      </w:r>
    </w:p>
    <w:tbl>
      <w:tblPr>
        <w:tblStyle w:val="28"/>
        <w:tblW w:w="9687" w:type="dxa"/>
        <w:tblInd w:w="15" w:type="dxa"/>
        <w:tblLayout w:type="fixed"/>
        <w:tblCellMar>
          <w:top w:w="0" w:type="dxa"/>
          <w:left w:w="0" w:type="dxa"/>
          <w:bottom w:w="0" w:type="dxa"/>
          <w:right w:w="0" w:type="dxa"/>
        </w:tblCellMar>
      </w:tblPr>
      <w:tblGrid>
        <w:gridCol w:w="631"/>
        <w:gridCol w:w="1545"/>
        <w:gridCol w:w="686"/>
        <w:gridCol w:w="6825"/>
      </w:tblGrid>
      <w:tr>
        <w:tblPrEx>
          <w:tblCellMar>
            <w:top w:w="0" w:type="dxa"/>
            <w:left w:w="0" w:type="dxa"/>
            <w:bottom w:w="0" w:type="dxa"/>
            <w:right w:w="0" w:type="dxa"/>
          </w:tblCellMar>
        </w:tblPrEx>
        <w:trPr>
          <w:trHeight w:val="415"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sz w:val="21"/>
                <w:szCs w:val="21"/>
              </w:rPr>
              <w:t>序号</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sz w:val="21"/>
                <w:szCs w:val="21"/>
              </w:rPr>
              <w:t>评审内容</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sz w:val="21"/>
                <w:szCs w:val="21"/>
              </w:rPr>
              <w:t>分值</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sz w:val="21"/>
                <w:szCs w:val="21"/>
              </w:rPr>
              <w:t>评审标准</w:t>
            </w:r>
          </w:p>
        </w:tc>
      </w:tr>
      <w:tr>
        <w:tblPrEx>
          <w:tblCellMar>
            <w:top w:w="0" w:type="dxa"/>
            <w:left w:w="0" w:type="dxa"/>
            <w:bottom w:w="0" w:type="dxa"/>
            <w:right w:w="0" w:type="dxa"/>
          </w:tblCellMar>
        </w:tblPrEx>
        <w:trPr>
          <w:trHeight w:val="1700"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业绩经验</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20</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1、自2018年1月1日以来（以合同签订时间为准），投标人承接过县区或以上生态环境主管部门委托的建设项目环境影响评价技术评估工作的，每个合同得</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分，最高得</w:t>
            </w:r>
            <w:r>
              <w:rPr>
                <w:rFonts w:hint="eastAsia" w:ascii="宋体" w:hAnsi="宋体" w:eastAsia="宋体" w:cs="宋体"/>
                <w:color w:val="000000" w:themeColor="text1"/>
                <w:kern w:val="0"/>
                <w:sz w:val="21"/>
                <w:szCs w:val="21"/>
                <w:lang w:val="en-US" w:eastAsia="zh-CN"/>
                <w14:textFill>
                  <w14:solidFill>
                    <w14:schemeClr w14:val="tx1"/>
                  </w14:solidFill>
                </w14:textFill>
              </w:rPr>
              <w:t>20</w:t>
            </w:r>
            <w:r>
              <w:rPr>
                <w:rFonts w:hint="eastAsia" w:ascii="宋体" w:hAnsi="宋体" w:eastAsia="宋体" w:cs="宋体"/>
                <w:color w:val="000000" w:themeColor="text1"/>
                <w:kern w:val="0"/>
                <w:sz w:val="21"/>
                <w:szCs w:val="21"/>
                <w14:textFill>
                  <w14:solidFill>
                    <w14:schemeClr w14:val="tx1"/>
                  </w14:solidFill>
                </w14:textFill>
              </w:rPr>
              <w:t>分。</w:t>
            </w:r>
          </w:p>
          <w:p>
            <w:pPr>
              <w:spacing w:line="480" w:lineRule="exact"/>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注：投标文件中必须同时提供与环境保护主管部门签订的合同复印件，加盖投标人公章作为评审依据，否则不得分</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1561" w:hRule="atLeast"/>
        </w:trPr>
        <w:tc>
          <w:tcPr>
            <w:tcW w:w="631"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545"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投标供应商实力</w:t>
            </w:r>
          </w:p>
        </w:tc>
        <w:tc>
          <w:tcPr>
            <w:tcW w:w="68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w:t>
            </w:r>
          </w:p>
        </w:tc>
        <w:tc>
          <w:tcPr>
            <w:tcW w:w="6825"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、投标人具有环境检测计量认证证书（CMA）得</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分。没有的不得分。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、投标人具有损害鉴定认定资格得</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分。没有的不得分。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需提供相应证书或资格证明复印件，并加盖投标人单位公章</w:t>
            </w:r>
          </w:p>
        </w:tc>
      </w:tr>
      <w:tr>
        <w:tblPrEx>
          <w:tblCellMar>
            <w:top w:w="0" w:type="dxa"/>
            <w:left w:w="0" w:type="dxa"/>
            <w:bottom w:w="0" w:type="dxa"/>
            <w:right w:w="0" w:type="dxa"/>
          </w:tblCellMar>
        </w:tblPrEx>
        <w:trPr>
          <w:trHeight w:val="2240"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投标人获奖情况</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承担过的项目成果获得国家级环境保护科学技术奖的，每个奖项得3分；获得省级环境保护科学技术奖或省级（含）以上科学技术奖的，每个奖项得1分，其他或没有的不得分。本项最高得分为10分。同一项目成果按获奖级别较高的评审，不重复计分。 需提供相应获奖证书或证明复印件，并加盖投标人单位公章。</w:t>
            </w:r>
          </w:p>
        </w:tc>
      </w:tr>
      <w:tr>
        <w:tblPrEx>
          <w:tblCellMar>
            <w:top w:w="0" w:type="dxa"/>
            <w:left w:w="0" w:type="dxa"/>
            <w:bottom w:w="0" w:type="dxa"/>
            <w:right w:w="0" w:type="dxa"/>
          </w:tblCellMar>
        </w:tblPrEx>
        <w:trPr>
          <w:trHeight w:val="2240"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Times New Roman" w:hAnsi="Times New Roman" w:eastAsia="宋体"/>
                <w:szCs w:val="21"/>
              </w:rPr>
              <w:t>企业</w:t>
            </w:r>
            <w:r>
              <w:rPr>
                <w:rFonts w:hint="eastAsia" w:ascii="Times New Roman" w:hAnsi="Times New Roman" w:eastAsia="宋体"/>
                <w:color w:val="000000"/>
                <w:szCs w:val="21"/>
                <w:lang w:eastAsia="zh-CN"/>
              </w:rPr>
              <w:t>证书认证情况</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投标人获得认证证书情况，每个认证证书得</w:t>
            </w:r>
            <w:r>
              <w:rPr>
                <w:rFonts w:hint="eastAsia" w:ascii="宋体" w:hAnsi="宋体" w:eastAsia="宋体" w:cs="宋体"/>
                <w:color w:val="000000"/>
                <w:sz w:val="21"/>
                <w:szCs w:val="21"/>
                <w:lang w:val="en-US" w:eastAsia="zh-CN"/>
              </w:rPr>
              <w:t>2</w:t>
            </w:r>
            <w:r>
              <w:rPr>
                <w:rFonts w:hint="eastAsia" w:ascii="宋体" w:hAnsi="宋体" w:eastAsia="宋体" w:cs="宋体"/>
                <w:color w:val="auto"/>
                <w:sz w:val="21"/>
                <w:szCs w:val="21"/>
                <w:lang w:val="en-US" w:eastAsia="zh-CN"/>
              </w:rPr>
              <w:t>分，本项累计最高得6分：</w:t>
            </w:r>
          </w:p>
          <w:p>
            <w:pPr>
              <w:pStyle w:val="9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1.有效的质量管理体系认证证书；</w:t>
            </w:r>
          </w:p>
          <w:p>
            <w:pPr>
              <w:pStyle w:val="9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2.有效的职业健康安全管理体系认证证书；</w:t>
            </w:r>
          </w:p>
          <w:p>
            <w:pPr>
              <w:pStyle w:val="92"/>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3.有效的环境管理体系认证证书；</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auto"/>
                <w:sz w:val="21"/>
                <w:szCs w:val="21"/>
                <w:lang w:val="en-US" w:eastAsia="zh-CN"/>
              </w:rPr>
              <w:t>（提供有效的认证证书并加盖投标人公章作为评审依据，不提供不得分）</w:t>
            </w:r>
          </w:p>
        </w:tc>
      </w:tr>
      <w:tr>
        <w:tblPrEx>
          <w:tblCellMar>
            <w:top w:w="0" w:type="dxa"/>
            <w:left w:w="0" w:type="dxa"/>
            <w:bottom w:w="0" w:type="dxa"/>
            <w:right w:w="0" w:type="dxa"/>
          </w:tblCellMar>
        </w:tblPrEx>
        <w:trPr>
          <w:trHeight w:val="1125" w:hRule="atLeast"/>
        </w:trPr>
        <w:tc>
          <w:tcPr>
            <w:tcW w:w="6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15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项目负责人与项目主要管理、服务人员情况</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考查、对比项目负责人情况：</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1、项目负责人具有环境保护专业高级工程师（教授级）技术职称的得2分；具有环境保护专业高级工程师技术职称的得1分；其他或没有的得0分。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2、项目负责人具有环境影响评价工程师职业资格的得2分；其他或没有的得0分。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3、项目负责人具有注册环保工程师资格的得2分；其他或没有的得0分。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4、项目负责人具有注册咨询工程师（投资）执业资格或咨询工程师（投资）职业资格的得2分；其他或没有的得0分。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本项最高得分为8分。需提供技术职称证书、职业（执业）资格证书、本单位近三个月（2020年9月-2020年11月）的社保证明复印件，并加盖投标人单位公章。</w:t>
            </w:r>
          </w:p>
        </w:tc>
      </w:tr>
      <w:tr>
        <w:tblPrEx>
          <w:tblCellMar>
            <w:top w:w="0" w:type="dxa"/>
            <w:left w:w="0" w:type="dxa"/>
            <w:bottom w:w="0" w:type="dxa"/>
            <w:right w:w="0" w:type="dxa"/>
          </w:tblCellMar>
        </w:tblPrEx>
        <w:trPr>
          <w:trHeight w:val="512" w:hRule="atLeast"/>
        </w:trPr>
        <w:tc>
          <w:tcPr>
            <w:tcW w:w="63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sz w:val="21"/>
                <w:szCs w:val="21"/>
                <w14:textFill>
                  <w14:solidFill>
                    <w14:schemeClr w14:val="tx1"/>
                  </w14:solidFill>
                </w14:textFill>
              </w:rPr>
            </w:pPr>
          </w:p>
        </w:tc>
        <w:tc>
          <w:tcPr>
            <w:tcW w:w="15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sz w:val="21"/>
                <w:szCs w:val="21"/>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6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考查、对比项目主要管理、服务人员（不含项目负责人）情况：</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项目主要管理、服务人员（不含项目负责人）中具备环境保护专业高级工程师技术职称或具有环境影响评价工程师职业资格的，每提供1名，得2分；本项最高得分为12分。同一管理、服务人员不重复计分。</w:t>
            </w:r>
          </w:p>
          <w:p>
            <w:pPr>
              <w:spacing w:line="4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需提供技术职称证书、职业（执业）资格证书、本单位近三个月（2020年9月-2020年11月）的社保证明复印件，并加盖投标人单位公章。</w:t>
            </w:r>
          </w:p>
        </w:tc>
      </w:tr>
      <w:tr>
        <w:tblPrEx>
          <w:tblCellMar>
            <w:top w:w="0" w:type="dxa"/>
            <w:left w:w="0" w:type="dxa"/>
            <w:bottom w:w="0" w:type="dxa"/>
            <w:right w:w="0" w:type="dxa"/>
          </w:tblCellMar>
        </w:tblPrEx>
        <w:trPr>
          <w:trHeight w:val="522" w:hRule="atLeast"/>
        </w:trPr>
        <w:tc>
          <w:tcPr>
            <w:tcW w:w="21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合计</w:t>
            </w:r>
          </w:p>
        </w:tc>
        <w:tc>
          <w:tcPr>
            <w:tcW w:w="7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0分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snapToGrid w:val="0"/>
        <w:spacing w:line="360" w:lineRule="auto"/>
        <w:rPr>
          <w:rFonts w:ascii="宋体" w:hAnsi="宋体" w:cs="宋体"/>
          <w:snapToGrid w:val="0"/>
          <w:kern w:val="0"/>
          <w:szCs w:val="21"/>
        </w:rPr>
      </w:pPr>
      <w:r>
        <w:rPr>
          <w:rFonts w:hint="eastAsia" w:ascii="宋体" w:hAnsi="宋体" w:cs="宋体"/>
          <w:snapToGrid w:val="0"/>
          <w:kern w:val="0"/>
          <w:szCs w:val="21"/>
        </w:rPr>
        <w:t>备注：</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bCs/>
        </w:rPr>
      </w:pPr>
      <w:r>
        <w:rPr>
          <w:rFonts w:hint="eastAsia" w:ascii="宋体" w:hAnsi="宋体"/>
          <w:bCs/>
        </w:rPr>
        <w:t>1. 磋商文件要求提交的与评价指标体系相关的各类有效资料，响应供应商如未按要求提交的，该项评分为零分。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eastAsia="zh-CN"/>
        </w:rPr>
      </w:pPr>
      <w:r>
        <w:rPr>
          <w:rFonts w:hint="eastAsia" w:ascii="宋体" w:hAnsi="宋体"/>
          <w:bCs/>
        </w:rPr>
        <w:t>2. 商务评分：所有评委评分分值的算术平均值（四舍五入后，小数点后保留两位有效数）。</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价格评审（</w:t>
      </w:r>
      <w:r>
        <w:rPr>
          <w:rFonts w:hint="eastAsia" w:ascii="宋体" w:hAnsi="宋体" w:cs="宋体"/>
          <w:b/>
          <w:bCs/>
          <w:sz w:val="28"/>
          <w:szCs w:val="28"/>
          <w:lang w:val="en-US" w:eastAsia="zh-CN"/>
        </w:rPr>
        <w:t>10</w:t>
      </w:r>
      <w:r>
        <w:rPr>
          <w:rFonts w:hint="eastAsia" w:ascii="宋体" w:hAnsi="宋体" w:eastAsia="宋体" w:cs="宋体"/>
          <w:b/>
          <w:bCs/>
          <w:sz w:val="28"/>
          <w:szCs w:val="28"/>
          <w:lang w:eastAsia="zh-CN"/>
        </w:rPr>
        <w:t xml:space="preserve"> 分）</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1. 价格核准：</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1.1. 评标委员会详细分析、核准价格表，检查其是否存在计算上或累加上的算术错误，修正错误的原则如下：</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 xml:space="preserve">①． 响应文件中的大写金额和小写金额不一致的，以大写金额为准； </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 xml:space="preserve">②．总价金额与按单价汇总金额不一致的，以单价金额计算结果为准；单价金额小数点有 </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 xml:space="preserve">明显错位的，应以总价为准，并修改单价； </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 xml:space="preserve">③．对不同文字文本响应文件的解释发生异议的，以中文文本为准； </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磋商小组按上述修正误差的原则调整的价格对其响应供应商具有约束力。如果响应供应商不接受修正后的价格，其报价将被拒绝。</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1.2. 按下列第 3点小型和微型企业产品价格进行价格扣除。</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2. 综合评分法中的价格分统一采用低价优先法计算，即满足招标文件要求（通过资格性、符合性审查）且投标价格最低的有效投标报价（指价格核准后的价格，下同）为评标基准价，其价格分为满分。其他响应供应商的价格分统一按照下列公式计算：</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投标报价得分=(评标基准价/投标报价)×价格权值×100</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备注：投标报价得分四舍五入后，小数点后保留两位有效数；</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 小型和微型企业产品价格扣除</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3.1. 根据财政部、工业和信息化部印发的《政府采购促进中小企业发展暂行办法》（财库[2011]181号）的规定，对小型和微型企业产品的价格给予 6%的扣除，用扣除后的价格参与评审；投标产品中仅有部分小型和微型企业产品的，则此部分按所投小型和微型企业产品的价格予以扣除。</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3.2. 《政府采购促进中小企业发展暂行办法》所称中小企业（含中型、小型、微型企业，下同）应当同时符合以下条件：</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3.2.1. 符合中小企业划分标准；</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3.2.2. 提供本企业制造的货物、承担的工程或者服务，或者提供其他中小企业制造的货物。本项所称货物不包括使用大型企业注册商标的货物。</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3.3. 参加政府采购活动的中小企业应当提供《中小企业声明函》（格式见第</w:t>
      </w:r>
      <w:r>
        <w:rPr>
          <w:rFonts w:hint="eastAsia" w:ascii="宋体" w:hAnsi="宋体" w:cs="宋体"/>
          <w:lang w:eastAsia="zh-CN"/>
        </w:rPr>
        <w:t>五</w:t>
      </w:r>
      <w:r>
        <w:rPr>
          <w:rFonts w:hint="eastAsia" w:ascii="宋体" w:hAnsi="宋体" w:eastAsia="宋体" w:cs="宋体"/>
        </w:rPr>
        <w:t>章响应文件格式），如响应供应商为非制造商，其代理产品的制造商也应同时提交《中小企业声明函》，否则评审时不能享受相应的价格扣除。</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3.4. 监狱企业视同小型、微型企业，享受评审中价格扣除。</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3.4.1.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jc w:val="left"/>
        <w:rPr>
          <w:rFonts w:hint="eastAsia" w:ascii="宋体" w:hAnsi="宋体" w:eastAsia="宋体" w:cs="宋体"/>
        </w:rPr>
      </w:pPr>
      <w:r>
        <w:rPr>
          <w:rFonts w:hint="eastAsia" w:ascii="宋体" w:hAnsi="宋体" w:eastAsia="宋体" w:cs="宋体"/>
        </w:rPr>
        <w:t>3.4.2. 监狱企业参加政府采购活动时，应当提供由省级以上监狱管理局、戒毒管理局（含新疆生产建设兵团）出具的属于监狱企业的证明文件，否则不予认可。</w:t>
      </w:r>
    </w:p>
    <w:p>
      <w:pPr>
        <w:adjustRightInd w:val="0"/>
        <w:snapToGrid w:val="0"/>
        <w:spacing w:line="360" w:lineRule="auto"/>
        <w:jc w:val="left"/>
        <w:rPr>
          <w:rFonts w:hint="eastAsia" w:ascii="黑体" w:eastAsia="黑体"/>
          <w:b/>
          <w:color w:val="auto"/>
          <w:sz w:val="44"/>
        </w:rPr>
      </w:pPr>
      <w:r>
        <w:rPr>
          <w:rFonts w:hint="eastAsia" w:ascii="宋体" w:hAnsi="宋体" w:eastAsia="宋体" w:cs="宋体"/>
        </w:rPr>
        <w:t>3.5. 响应供应商同时为小型、微型企业和监狱企业的，评审中只享受一次价格扣除。不重复进行价格扣除。</w:t>
      </w:r>
    </w:p>
    <w:p>
      <w:pPr>
        <w:pStyle w:val="2"/>
        <w:rPr>
          <w:rFonts w:hint="eastAsia"/>
        </w:rPr>
      </w:pPr>
    </w:p>
    <w:p>
      <w:pPr>
        <w:pStyle w:val="3"/>
        <w:bidi w:val="0"/>
        <w:jc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bidi w:val="0"/>
        <w:jc w:val="center"/>
      </w:pPr>
      <w:r>
        <w:rPr>
          <w:rFonts w:hint="eastAsia"/>
        </w:rPr>
        <w:t>第三部分</w:t>
      </w:r>
    </w:p>
    <w:p>
      <w:pPr>
        <w:pStyle w:val="3"/>
        <w:bidi w:val="0"/>
        <w:jc w:val="center"/>
      </w:pPr>
      <w:r>
        <w:rPr>
          <w:rFonts w:hint="eastAsia"/>
        </w:rPr>
        <w:t>用</w:t>
      </w:r>
      <w:r>
        <w:t xml:space="preserve"> </w:t>
      </w:r>
      <w:r>
        <w:rPr>
          <w:rFonts w:hint="eastAsia"/>
        </w:rPr>
        <w:t>户</w:t>
      </w:r>
      <w:r>
        <w:t xml:space="preserve"> </w:t>
      </w:r>
      <w:r>
        <w:rPr>
          <w:rFonts w:hint="eastAsia"/>
        </w:rPr>
        <w:t>需</w:t>
      </w:r>
      <w:r>
        <w:t xml:space="preserve"> </w:t>
      </w:r>
      <w:r>
        <w:rPr>
          <w:rFonts w:hint="eastAsia"/>
        </w:rPr>
        <w:t>求</w:t>
      </w:r>
      <w:r>
        <w:t xml:space="preserve"> </w:t>
      </w:r>
      <w:r>
        <w:rPr>
          <w:rFonts w:hint="eastAsia"/>
        </w:rPr>
        <w:t>书</w:t>
      </w:r>
    </w:p>
    <w:p>
      <w:pPr>
        <w:rPr>
          <w:rFonts w:ascii="Times New Roman" w:hAnsi="Times New Roman" w:eastAsia="宋体" w:cs="Times New Roman"/>
          <w:kern w:val="0"/>
          <w:sz w:val="21"/>
          <w:szCs w:val="20"/>
          <w:lang w:val="zh-CN" w:eastAsia="zh-CN" w:bidi="ar-SA"/>
        </w:rPr>
      </w:pPr>
      <w:r>
        <w:rPr>
          <w:rFonts w:hint="eastAsia" w:ascii="宋体" w:hAnsi="宋体"/>
          <w:b/>
          <w:color w:val="auto"/>
          <w:szCs w:val="21"/>
        </w:rPr>
        <w:br w:type="page"/>
      </w:r>
    </w:p>
    <w:p>
      <w:pPr>
        <w:pStyle w:val="26"/>
        <w:spacing w:before="0" w:after="0" w:line="360" w:lineRule="auto"/>
        <w:rPr>
          <w:rFonts w:hint="eastAsia"/>
        </w:rPr>
      </w:pPr>
      <w:r>
        <w:rPr>
          <w:rFonts w:hint="eastAsia"/>
          <w:lang w:eastAsia="zh-CN"/>
        </w:rPr>
        <w:t>云浮市生态环境局罗定分局2021年建设项目环境影响报告书（表）技术评估服务项目</w:t>
      </w:r>
      <w:r>
        <w:rPr>
          <w:rFonts w:hint="eastAsia"/>
        </w:rPr>
        <w:t xml:space="preserve">      </w:t>
      </w:r>
    </w:p>
    <w:p>
      <w:pPr>
        <w:pStyle w:val="26"/>
        <w:spacing w:before="0" w:after="0" w:line="360" w:lineRule="auto"/>
      </w:pPr>
      <w:r>
        <w:rPr>
          <w:rFonts w:hint="eastAsia"/>
        </w:rPr>
        <w:t>用户需求书</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sz w:val="21"/>
          <w:szCs w:val="21"/>
        </w:rPr>
      </w:pPr>
      <w:r>
        <w:rPr>
          <w:rFonts w:hint="eastAsia" w:ascii="宋体" w:hAnsi="宋体"/>
          <w:b/>
          <w:color w:val="000000"/>
          <w:sz w:val="21"/>
          <w:szCs w:val="21"/>
          <w:lang w:eastAsia="zh-CN"/>
        </w:rPr>
        <w:t>一、</w:t>
      </w:r>
      <w:r>
        <w:rPr>
          <w:rFonts w:hint="eastAsia" w:ascii="宋体" w:hAnsi="宋体" w:eastAsia="宋体" w:cs="宋体"/>
          <w:b/>
          <w:bCs/>
          <w:sz w:val="21"/>
          <w:szCs w:val="21"/>
        </w:rPr>
        <w:t>项目概况</w:t>
      </w:r>
    </w:p>
    <w:p>
      <w:pPr>
        <w:pStyle w:val="9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项目名称：云浮市生态环境局罗定分局2021年建设项目环境影响报告书（表）技术评估服务项目 </w:t>
      </w:r>
    </w:p>
    <w:p>
      <w:pPr>
        <w:pStyle w:val="9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预算金额：人民币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980000</w:t>
      </w:r>
      <w:r>
        <w:rPr>
          <w:rFonts w:hint="eastAsia" w:ascii="宋体" w:hAnsi="宋体" w:eastAsia="宋体" w:cs="宋体"/>
          <w:color w:val="000000" w:themeColor="text1"/>
          <w:sz w:val="21"/>
          <w:szCs w:val="21"/>
          <w14:textFill>
            <w14:solidFill>
              <w14:schemeClr w14:val="tx1"/>
            </w14:solidFill>
          </w14:textFill>
        </w:rPr>
        <w:t>.00</w:t>
      </w:r>
      <w:r>
        <w:rPr>
          <w:rFonts w:hint="eastAsia" w:ascii="宋体" w:hAnsi="宋体" w:eastAsia="宋体" w:cs="宋体"/>
          <w:sz w:val="21"/>
          <w:szCs w:val="21"/>
        </w:rPr>
        <w:t>元</w:t>
      </w:r>
    </w:p>
    <w:p>
      <w:pPr>
        <w:pStyle w:val="9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采购单位：</w:t>
      </w:r>
      <w:r>
        <w:rPr>
          <w:rFonts w:hint="eastAsia" w:ascii="宋体" w:hAnsi="宋体" w:eastAsia="宋体" w:cs="宋体"/>
          <w:color w:val="000000" w:themeColor="text1"/>
          <w:sz w:val="21"/>
          <w:szCs w:val="21"/>
          <w14:textFill>
            <w14:solidFill>
              <w14:schemeClr w14:val="tx1"/>
            </w14:solidFill>
          </w14:textFill>
        </w:rPr>
        <w:t>云浮市生态环境局罗定分局</w:t>
      </w:r>
    </w:p>
    <w:p>
      <w:pPr>
        <w:pStyle w:val="9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项目内容：成交供应商按照采购要求，接受</w:t>
      </w:r>
      <w:r>
        <w:rPr>
          <w:rFonts w:hint="eastAsia" w:ascii="宋体" w:hAnsi="宋体" w:eastAsia="宋体" w:cs="宋体"/>
          <w:color w:val="000000" w:themeColor="text1"/>
          <w:sz w:val="21"/>
          <w:szCs w:val="21"/>
          <w:lang w:eastAsia="zh-CN"/>
          <w14:textFill>
            <w14:solidFill>
              <w14:schemeClr w14:val="tx1"/>
            </w14:solidFill>
          </w14:textFill>
        </w:rPr>
        <w:t>云浮市生态环境局罗定分局</w:t>
      </w:r>
      <w:r>
        <w:rPr>
          <w:rFonts w:hint="eastAsia" w:ascii="宋体" w:hAnsi="宋体" w:eastAsia="宋体" w:cs="宋体"/>
          <w:sz w:val="21"/>
          <w:szCs w:val="21"/>
        </w:rPr>
        <w:t>委托，开展环境影响评价文件技术评估服务工作。</w:t>
      </w:r>
    </w:p>
    <w:p>
      <w:pPr>
        <w:pStyle w:val="74"/>
        <w:keepNext w:val="0"/>
        <w:keepLines w:val="0"/>
        <w:pageBreakBefore w:val="0"/>
        <w:numPr>
          <w:ilvl w:val="0"/>
          <w:numId w:val="0"/>
        </w:numPr>
        <w:kinsoku/>
        <w:wordWrap/>
        <w:overflowPunct/>
        <w:topLinePunct w:val="0"/>
        <w:bidi w:val="0"/>
        <w:adjustRightInd/>
        <w:snapToGrid/>
        <w:spacing w:line="360" w:lineRule="auto"/>
        <w:ind w:leftChars="0" w:right="0" w:rightChars="0" w:firstLine="440" w:firstLineChars="200"/>
        <w:jc w:val="left"/>
        <w:textAlignment w:val="auto"/>
        <w:rPr>
          <w:rFonts w:hint="eastAsia" w:ascii="宋体" w:hAnsi="宋体" w:cs="仿宋"/>
          <w:bCs/>
          <w:color w:val="000000"/>
          <w:szCs w:val="21"/>
        </w:rPr>
      </w:pPr>
      <w:r>
        <w:rPr>
          <w:rFonts w:hint="eastAsia" w:ascii="宋体" w:hAnsi="宋体" w:cs="仿宋"/>
          <w:bCs/>
          <w:color w:val="000000"/>
          <w:szCs w:val="21"/>
        </w:rPr>
        <w:t xml:space="preserve"> </w:t>
      </w:r>
    </w:p>
    <w:tbl>
      <w:tblPr>
        <w:tblStyle w:val="2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1035"/>
        <w:gridCol w:w="3135"/>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3019" w:type="dxa"/>
            <w:shd w:val="clear" w:color="auto" w:fill="EEECE1"/>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采购内容</w:t>
            </w:r>
          </w:p>
        </w:tc>
        <w:tc>
          <w:tcPr>
            <w:tcW w:w="1035" w:type="dxa"/>
            <w:shd w:val="clear" w:color="auto" w:fill="EEECE1"/>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3135" w:type="dxa"/>
            <w:shd w:val="clear" w:color="auto" w:fill="EEECE1"/>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服务期</w:t>
            </w:r>
          </w:p>
        </w:tc>
        <w:tc>
          <w:tcPr>
            <w:tcW w:w="2729" w:type="dxa"/>
            <w:shd w:val="clear" w:color="auto" w:fill="EEECE1"/>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3019"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云浮市生态环境局罗定分局2021年建设项目环境影响报告书（表）技术评估服务项目</w:t>
            </w:r>
          </w:p>
        </w:tc>
        <w:tc>
          <w:tcPr>
            <w:tcW w:w="1035"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w:t>
            </w:r>
          </w:p>
        </w:tc>
        <w:tc>
          <w:tcPr>
            <w:tcW w:w="3135"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rPr>
              <w:t>自合同签订之日起至合同金额支出完成或余额不足以支付单项费用为止</w:t>
            </w:r>
          </w:p>
        </w:tc>
        <w:tc>
          <w:tcPr>
            <w:tcW w:w="2729"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lang w:val="en-US" w:eastAsia="zh-CN"/>
                <w14:textFill>
                  <w14:solidFill>
                    <w14:schemeClr w14:val="tx1"/>
                  </w14:solidFill>
                </w14:textFill>
              </w:rPr>
              <w:t>980000</w:t>
            </w:r>
            <w:r>
              <w:rPr>
                <w:rFonts w:hint="eastAsia" w:ascii="宋体" w:hAnsi="宋体" w:eastAsia="宋体" w:cs="宋体"/>
                <w:color w:val="000000" w:themeColor="text1"/>
                <w:sz w:val="21"/>
                <w:szCs w:val="21"/>
                <w14:textFill>
                  <w14:solidFill>
                    <w14:schemeClr w14:val="tx1"/>
                  </w14:solidFill>
                </w14:textFill>
              </w:rPr>
              <w:t>.00元</w:t>
            </w:r>
          </w:p>
        </w:tc>
      </w:tr>
    </w:tbl>
    <w:p>
      <w:pPr>
        <w:pStyle w:val="74"/>
        <w:keepNext w:val="0"/>
        <w:keepLines w:val="0"/>
        <w:pageBreakBefore w:val="0"/>
        <w:numPr>
          <w:ilvl w:val="0"/>
          <w:numId w:val="0"/>
        </w:numPr>
        <w:kinsoku/>
        <w:wordWrap/>
        <w:overflowPunct/>
        <w:topLinePunct w:val="0"/>
        <w:bidi w:val="0"/>
        <w:adjustRightInd/>
        <w:snapToGrid/>
        <w:spacing w:line="360" w:lineRule="auto"/>
        <w:ind w:leftChars="0" w:right="0" w:rightChars="0" w:firstLine="440" w:firstLineChars="200"/>
        <w:jc w:val="left"/>
        <w:textAlignment w:val="auto"/>
        <w:rPr>
          <w:rFonts w:hint="eastAsia" w:ascii="宋体" w:hAnsi="宋体" w:cs="仿宋"/>
          <w:bCs/>
          <w:color w:val="000000"/>
          <w:szCs w:val="21"/>
        </w:rPr>
      </w:pPr>
    </w:p>
    <w:p>
      <w:pPr>
        <w:pStyle w:val="74"/>
        <w:keepNext w:val="0"/>
        <w:keepLines w:val="0"/>
        <w:pageBreakBefore w:val="0"/>
        <w:tabs>
          <w:tab w:val="left" w:pos="900"/>
        </w:tabs>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Cs/>
          <w:sz w:val="21"/>
          <w:szCs w:val="21"/>
        </w:rPr>
      </w:pPr>
      <w:r>
        <w:rPr>
          <w:rFonts w:hint="eastAsia" w:cs="宋体"/>
          <w:b/>
          <w:bCs w:val="0"/>
          <w:sz w:val="21"/>
          <w:szCs w:val="21"/>
          <w:lang w:eastAsia="zh-CN"/>
        </w:rPr>
        <w:t>二</w:t>
      </w:r>
      <w:r>
        <w:rPr>
          <w:rFonts w:hint="eastAsia" w:ascii="宋体" w:hAnsi="宋体" w:eastAsia="宋体" w:cs="宋体"/>
          <w:b/>
          <w:bCs w:val="0"/>
          <w:sz w:val="21"/>
          <w:szCs w:val="21"/>
        </w:rPr>
        <w:t>、</w:t>
      </w:r>
      <w:r>
        <w:rPr>
          <w:rFonts w:hint="eastAsia" w:ascii="宋体" w:hAnsi="宋体" w:eastAsia="宋体" w:cs="宋体"/>
          <w:b/>
          <w:bCs w:val="0"/>
          <w:sz w:val="21"/>
          <w:szCs w:val="21"/>
          <w:lang w:eastAsia="zh-CN"/>
        </w:rPr>
        <w:t>服务要求</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1、成交供应商应全面负责建设项目环境影响评价技术评估工作，严格按照《建设项目环境影响评价技术评估导则》要求，客观、公正地开展建设项目环评文件技术审查工作，对评估成果的真实性、准确性、完整性、合法性、合理性负全部责任，并负有保密责任。</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2、成交供应商必须按采购人要求，按时按质完成建设项目选址踏勘、组织召开专家评审会和出具建设项目环境影响评价技术评估意见等工作。</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3、成交供应商需定期向采购人汇报建设项目环境影响评价技术评估工作情况，并积极配合采购人开展与建设项目环境影响评价技术评估有关的工作。</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4、成交供应商应根据委托项目的实际情况安排项目负责人，如采购人认为成交供应商派出的评估人员不足以按期保质完成评估任务，成交供应商应按采购人要求增派或更换，如仍不能符合采购人要求，采购人有权收回评估项目，由此造成的损失全部由成交供应商负责。</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5、成交供应商应在规定的时间完成评估，提交评估成果</w:t>
      </w:r>
      <w:r>
        <w:rPr>
          <w:rFonts w:hint="eastAsia" w:ascii="宋体" w:hAnsi="宋体" w:eastAsia="宋体" w:cs="宋体"/>
          <w:bCs/>
          <w:sz w:val="21"/>
          <w:szCs w:val="21"/>
          <w:lang w:eastAsia="zh-CN"/>
        </w:rPr>
        <w:t>。</w:t>
      </w:r>
    </w:p>
    <w:p>
      <w:pPr>
        <w:pStyle w:val="74"/>
        <w:keepNext w:val="0"/>
        <w:keepLines w:val="0"/>
        <w:pageBreakBefore w:val="0"/>
        <w:tabs>
          <w:tab w:val="left" w:pos="900"/>
        </w:tabs>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cs="宋体"/>
          <w:b/>
          <w:bCs w:val="0"/>
          <w:color w:val="000000" w:themeColor="text1"/>
          <w:sz w:val="21"/>
          <w:szCs w:val="21"/>
          <w:lang w:eastAsia="zh-CN"/>
          <w14:textFill>
            <w14:solidFill>
              <w14:schemeClr w14:val="tx1"/>
            </w14:solidFill>
          </w14:textFill>
        </w:rPr>
        <w:t>三</w:t>
      </w:r>
      <w:r>
        <w:rPr>
          <w:rFonts w:hint="eastAsia" w:ascii="宋体" w:hAnsi="宋体" w:eastAsia="宋体" w:cs="宋体"/>
          <w:b/>
          <w:bCs w:val="0"/>
          <w:color w:val="000000" w:themeColor="text1"/>
          <w:sz w:val="21"/>
          <w:szCs w:val="21"/>
          <w:lang w:eastAsia="zh-CN"/>
          <w14:textFill>
            <w14:solidFill>
              <w14:schemeClr w14:val="tx1"/>
            </w14:solidFill>
          </w14:textFill>
        </w:rPr>
        <w:t>、评估时间要求</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成交供应商接到采购人评估项目委托通知后，除有特别约定外，应在20个工作日内完成环境影响报告书/特殊报告表的技术评估工作、13个工作日内完成一般环境影响报告表的技术评估工作。如因项目建设单位或环评单位原因造成的时间延误，不计算在约定时间内。</w:t>
      </w:r>
    </w:p>
    <w:p>
      <w:pPr>
        <w:pStyle w:val="74"/>
        <w:keepNext w:val="0"/>
        <w:keepLines w:val="0"/>
        <w:pageBreakBefore w:val="0"/>
        <w:tabs>
          <w:tab w:val="left" w:pos="900"/>
        </w:tabs>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bCs w:val="0"/>
          <w:sz w:val="21"/>
          <w:szCs w:val="21"/>
        </w:rPr>
      </w:pPr>
      <w:r>
        <w:rPr>
          <w:rFonts w:hint="eastAsia" w:cs="宋体"/>
          <w:b/>
          <w:bCs w:val="0"/>
          <w:sz w:val="21"/>
          <w:szCs w:val="21"/>
          <w:lang w:eastAsia="zh-CN"/>
        </w:rPr>
        <w:t>四</w:t>
      </w:r>
      <w:r>
        <w:rPr>
          <w:rFonts w:hint="eastAsia" w:ascii="宋体" w:hAnsi="宋体" w:eastAsia="宋体" w:cs="宋体"/>
          <w:b/>
          <w:bCs w:val="0"/>
          <w:sz w:val="21"/>
          <w:szCs w:val="21"/>
        </w:rPr>
        <w:t>、地点与完成时间</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 xml:space="preserve">项目实施地址：罗定市。 </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完成时间：自合同签订之日起至合同金额支出完成或余额不足以支付单项费用为止。</w:t>
      </w:r>
    </w:p>
    <w:p>
      <w:pPr>
        <w:pStyle w:val="74"/>
        <w:keepNext w:val="0"/>
        <w:keepLines w:val="0"/>
        <w:pageBreakBefore w:val="0"/>
        <w:tabs>
          <w:tab w:val="left" w:pos="900"/>
        </w:tabs>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bCs w:val="0"/>
          <w:sz w:val="21"/>
          <w:szCs w:val="21"/>
        </w:rPr>
      </w:pPr>
      <w:r>
        <w:rPr>
          <w:rFonts w:hint="eastAsia" w:cs="宋体"/>
          <w:b/>
          <w:bCs w:val="0"/>
          <w:sz w:val="21"/>
          <w:szCs w:val="21"/>
          <w:lang w:eastAsia="zh-CN"/>
        </w:rPr>
        <w:t>五</w:t>
      </w:r>
      <w:r>
        <w:rPr>
          <w:rFonts w:hint="eastAsia" w:ascii="宋体" w:hAnsi="宋体" w:eastAsia="宋体" w:cs="宋体"/>
          <w:b/>
          <w:bCs w:val="0"/>
          <w:sz w:val="21"/>
          <w:szCs w:val="21"/>
        </w:rPr>
        <w:t>、服务计费标准及结算方式</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1、本项目执行统一定价标准，其价格不列为评审因素。响应供应商所投报价格为在服务期限内的固定统一价格，为含税全包价。如采购人在服务期限内交给成交供应商技术评估工作，成交供应商收取的建设项目环境影响评价技术评估服务费按招标文件规定的《建设项目环境影响评价技术评估服务计费标准》收取。</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2、建设项目环境影响评价技术评估服务计费标准</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color w:val="000000" w:themeColor="text1"/>
          <w:sz w:val="21"/>
          <w:szCs w:val="21"/>
          <w:u w:val="none"/>
          <w14:textFill>
            <w14:solidFill>
              <w14:schemeClr w14:val="tx1"/>
            </w14:solidFill>
          </w14:textFill>
        </w:rPr>
        <w:t>建设项目环境影响报告书（含后评价报告）技术评估费3.8万元/个、</w:t>
      </w:r>
      <w:r>
        <w:rPr>
          <w:rFonts w:hint="eastAsia" w:ascii="宋体" w:hAnsi="宋体" w:eastAsia="宋体" w:cs="宋体"/>
          <w:bCs/>
          <w:sz w:val="21"/>
          <w:szCs w:val="21"/>
        </w:rPr>
        <w:t>普通报告表不超人民币陆仟元整（¥6,000.00）、特殊情况需组织专家评审会或函审的，不超人民币壹万肆仟元整（¥15,000.00）（报告表类一般不组织专家评审会，特殊情况（如生产工艺、治理工艺复杂，或采用新技术、新工艺等）需要组织专家评审会或函审的，由云浮市生态环境局罗定分局确定）。结算总额以项目数乘以单项单价，不超最高采购限价。</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在履行合同期间，因《建设项目环境影响分类管理名录》修订而由报告书变更为报告表的项目，如修订前乙方已对项目组织专家评审会或出具审核意见的，按报告书项目结算；如修订前乙方未组织专家评审会或出具审查意见的，按报告表项目结算。</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上述经费包括完成单个评估项目的人力成本、设备成本、建设项目环境影响评价技术评估成本、现场勘察成本、专家评审会议成本（包括专家评审费、专家接送车辆租赁费、专家评审会场租赁费、专家评审会工作餐费、其他会务费等费用）、利润、税费等费在内完成单个项目所需的全部费用的总和。</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3、服务费结算方式</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服务费按照采购人委托成交供应商实际完成技术评估工作的项目数量，每季度结算一次。采购人收到成交供应商加盖公章的建设项目环评文件技术评估意见视为完成建设项目环境影响评价技术评估工作。每笔款项需要支付时，成交供应商应向采购人提交支付申请和发票，采购人对支付申请进行评估确认后，在10个工作日内一次性请款支付（不含政府财政支付部门审核的时间）。</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因采购人使用的是财政资金，采购人在前款规定的付款时间是指向政府采购支付部门提出办理财政支付申请手续的时间（不含政府财政支付部门审核的时间），在规定时间内提出支付申请手续后即视为采购人已经按期支付。</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4、收款方、出具发票方、合同乙方均必须与成交供应商名称一致。</w:t>
      </w:r>
    </w:p>
    <w:p>
      <w:pPr>
        <w:pStyle w:val="74"/>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firstLine="0"/>
        <w:jc w:val="left"/>
        <w:textAlignment w:val="auto"/>
        <w:rPr>
          <w:rFonts w:hint="eastAsia" w:ascii="宋体" w:hAnsi="宋体" w:eastAsia="宋体" w:cs="宋体"/>
          <w:bCs/>
          <w:sz w:val="21"/>
          <w:szCs w:val="21"/>
        </w:rPr>
      </w:pPr>
      <w:r>
        <w:rPr>
          <w:rFonts w:hint="eastAsia" w:ascii="宋体" w:hAnsi="宋体" w:eastAsia="宋体" w:cs="宋体"/>
          <w:bCs/>
          <w:sz w:val="21"/>
          <w:szCs w:val="21"/>
        </w:rPr>
        <w:t>5、付款期间如因特殊情况需调整，由双方协商处理。</w:t>
      </w:r>
    </w:p>
    <w:p>
      <w:pPr>
        <w:pStyle w:val="2"/>
        <w:rPr>
          <w:rFonts w:hint="eastAsia"/>
        </w:rPr>
      </w:pPr>
    </w:p>
    <w:p>
      <w:pPr>
        <w:spacing w:line="360" w:lineRule="auto"/>
        <w:jc w:val="both"/>
        <w:rPr>
          <w:rFonts w:hint="eastAsia" w:ascii="黑体" w:eastAsia="黑体"/>
          <w:b/>
          <w:color w:val="auto"/>
          <w:sz w:val="44"/>
        </w:rPr>
      </w:pPr>
    </w:p>
    <w:p>
      <w:pPr>
        <w:pStyle w:val="2"/>
        <w:rPr>
          <w:rFonts w:hint="eastAsia"/>
        </w:rPr>
      </w:pPr>
    </w:p>
    <w:p>
      <w:pPr>
        <w:spacing w:line="360" w:lineRule="auto"/>
        <w:jc w:val="both"/>
        <w:rPr>
          <w:rFonts w:hint="eastAsia" w:ascii="黑体" w:eastAsia="黑体"/>
          <w:b/>
          <w:color w:val="auto"/>
          <w:sz w:val="44"/>
        </w:rPr>
      </w:pPr>
    </w:p>
    <w:p>
      <w:pPr>
        <w:pStyle w:val="6"/>
        <w:rPr>
          <w:rFonts w:hint="eastAsia" w:ascii="黑体" w:eastAsia="黑体"/>
          <w:b/>
          <w:color w:val="auto"/>
          <w:sz w:val="44"/>
        </w:rPr>
      </w:pPr>
    </w:p>
    <w:p>
      <w:pPr>
        <w:pStyle w:val="6"/>
        <w:ind w:left="0" w:leftChars="0" w:firstLine="0" w:firstLineChars="0"/>
        <w:rPr>
          <w:rFonts w:hint="eastAsia"/>
        </w:rPr>
      </w:pPr>
    </w:p>
    <w:p>
      <w:pPr>
        <w:pStyle w:val="2"/>
        <w:rPr>
          <w:rFonts w:hint="eastAsia"/>
        </w:rPr>
      </w:pPr>
    </w:p>
    <w:p>
      <w:pPr>
        <w:pStyle w:val="2"/>
        <w:rPr>
          <w:rFonts w:hint="eastAsia"/>
        </w:rPr>
      </w:pPr>
    </w:p>
    <w:p>
      <w:pPr>
        <w:pStyle w:val="3"/>
        <w:bidi w:val="0"/>
        <w:jc w:val="center"/>
      </w:pPr>
      <w:r>
        <w:rPr>
          <w:rFonts w:hint="eastAsia"/>
        </w:rPr>
        <w:t>第四部分</w:t>
      </w:r>
    </w:p>
    <w:p>
      <w:pPr>
        <w:pStyle w:val="3"/>
        <w:bidi w:val="0"/>
        <w:jc w:val="center"/>
        <w:rPr>
          <w:rFonts w:ascii="宋体"/>
          <w:color w:val="auto"/>
        </w:rPr>
      </w:pPr>
      <w:r>
        <w:rPr>
          <w:rFonts w:hint="eastAsia"/>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adjustRightInd w:val="0"/>
        <w:snapToGrid w:val="0"/>
        <w:spacing w:line="360" w:lineRule="auto"/>
        <w:rPr>
          <w:rFonts w:ascii="宋体"/>
          <w:b/>
          <w:color w:val="auto"/>
          <w:sz w:val="48"/>
        </w:rPr>
      </w:pPr>
    </w:p>
    <w:p>
      <w:pPr>
        <w:pStyle w:val="6"/>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合同通用条款</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(此合同样本为通用合同，合同具体细则以成交双方协定为准，但不得对磋商文件、响应文件作实质性修改。)</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甲</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方（采购人）：</w:t>
      </w:r>
      <w:r>
        <w:rPr>
          <w:rFonts w:hint="eastAsia" w:ascii="宋体" w:hAnsi="宋体" w:eastAsia="宋体" w:cs="宋体"/>
          <w:b w:val="0"/>
          <w:bCs w:val="0"/>
          <w:color w:val="auto"/>
          <w:kern w:val="0"/>
          <w:sz w:val="21"/>
          <w:szCs w:val="21"/>
          <w:lang w:val="en-US" w:eastAsia="zh-CN" w:bidi="ar-SA"/>
        </w:rPr>
        <w:tab/>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话：</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传 真：</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 xml:space="preserve">  地 址：</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乙</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方（中标人）：</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ab/>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话：</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传 真：</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 xml:space="preserve">  地 址：</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项目名称： 项目编号：</w:t>
      </w:r>
    </w:p>
    <w:p>
      <w:pPr>
        <w:pStyle w:val="6"/>
        <w:keepNext/>
        <w:keepLines/>
        <w:pageBreakBefore w:val="0"/>
        <w:widowControl/>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根据 （项目名称） （项目编号：）的采购结果，按照《中华人民共和国政府采购法》及其实施条例、《中华人民共和国合同法》的规定，经双方协商，本着平等互利和诚实信用的原则，一致同意签订本合同如下。</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一、合同金额</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合同金额为（大写）： </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 xml:space="preserve">元（￥ </w:t>
      </w:r>
      <w:r>
        <w:rPr>
          <w:rFonts w:hint="eastAsia" w:ascii="宋体" w:hAnsi="宋体" w:eastAsia="宋体" w:cs="宋体"/>
          <w:b w:val="0"/>
          <w:bCs w:val="0"/>
          <w:color w:val="auto"/>
          <w:kern w:val="0"/>
          <w:sz w:val="21"/>
          <w:szCs w:val="21"/>
          <w:lang w:val="en-US" w:eastAsia="zh-CN" w:bidi="ar-SA"/>
        </w:rPr>
        <w:tab/>
      </w:r>
      <w:r>
        <w:rPr>
          <w:rFonts w:hint="eastAsia" w:ascii="宋体" w:hAnsi="宋体" w:eastAsia="宋体" w:cs="宋体"/>
          <w:b w:val="0"/>
          <w:bCs w:val="0"/>
          <w:color w:val="auto"/>
          <w:kern w:val="0"/>
          <w:sz w:val="21"/>
          <w:szCs w:val="21"/>
          <w:lang w:val="en-US" w:eastAsia="zh-CN" w:bidi="ar-SA"/>
        </w:rPr>
        <w:t>元）。</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二、服务范围</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甲方聘请乙方提供以下服务： 1．本合同项下的服务指。</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三、甲方乙方的权利和义务</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（一） 甲方的权利和义务</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（二） 乙方的权利和义务</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四、地点与完成时间</w:t>
      </w:r>
    </w:p>
    <w:p>
      <w:pPr>
        <w:pStyle w:val="74"/>
        <w:tabs>
          <w:tab w:val="left" w:pos="900"/>
        </w:tabs>
        <w:spacing w:line="360" w:lineRule="auto"/>
        <w:ind w:left="0" w:leftChars="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 xml:space="preserve">项目实施地址：罗定市。 </w:t>
      </w:r>
    </w:p>
    <w:p>
      <w:pPr>
        <w:pStyle w:val="74"/>
        <w:tabs>
          <w:tab w:val="left" w:pos="900"/>
        </w:tabs>
        <w:spacing w:line="360" w:lineRule="auto"/>
        <w:ind w:left="0" w:leftChars="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完成时间：自合同签订生效之日起1年（12个月）。</w:t>
      </w:r>
    </w:p>
    <w:p>
      <w:pPr>
        <w:pStyle w:val="6"/>
        <w:keepNext/>
        <w:keepLines/>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五、付款方式（招标文件需求书另有规定从其规定）</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本项目执行统一定价标准，其价格不列为评审因素。响应供应商所投报价格为在服务期限内的固定统一价格，为含税全包价。如采购人在服务期限内交给成交供应商技术评估工作，成交供应商收取的建设项目环境影响评价技术评估服务费按招标文件规定的《建设项目环境影响评价技术评估服务计费标准》收取。</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2、建设项目环境影响评价技术评估服务计费标准</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设项目环境影响报告书（含后评价报告）技术评估费3.8万元/个、普通报告表不超人民币陆仟元整（¥6,000.00）、特殊情况需组织专家评审会或函审的，不超人民币壹万肆仟元整（¥15,000.00）（报告表类一般不组织专家评审会，特殊情况（如生产工艺、治理工艺复杂，或采用新技术、新工艺等）需要组织专家评审会或函审的，由云浮市生态环境局罗定分局确定）。结算总额以项目数乘以单项单价，不超最高采购限价。</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在履行合同期间，因《建设项目环境影响分类管理名录》修订而由报告书变更为报告表的项目，如修订前乙方已对项目组织专家评审会或出具审核意见的，按报告书项目结算；如修订前乙方未组织专家评审会或出具审查意见的，按报告表项目结算。</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上述经费包括完成单个评估项目的人力成本、设备成本、建设项目环境影响评价技术评估成本、现场勘察成本、专家评审会议成本（包括专家评审费、专家接送车辆租赁费、专家评审会场租赁费、专家评审会工作餐费、其他会务费等费用）、利润、税费等费在内完成单个项目所需的全部费用的总和。</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3、服务费结算方式</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服务费按照采购人委托成交供应商实际完成技术评估工作的项目数量，每季度结算一次。采购人收到成交供应商加盖公章的建设项目环评文件技术评估意见视为完成建设项目环境影响评价技术评估工作。每笔款项需要支付时，成交供应商应向采购人提交支付申请和发票，采购人对支付申请进行评估确认后，在10个工作日内一次性请款支付（不含政府财政支付部门审核的时间）。</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因采购人使用的是财政资金，采购人在前款规定的付款时间是指向政府采购支付部门提出办理财政支付申请手续的时间（不含政府财政支付部门审核的时间），在规定时间内提出支付申请手续后即视为采购人已经按期支付。</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4、收款方、出具发票方、合同乙方均必须与成交供应商名称一致。</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5、付款期间如因特殊情况需调整，由双方协商处理。</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六、知识产权产权归属</w:t>
      </w:r>
    </w:p>
    <w:p>
      <w:pPr>
        <w:pageBreakBefore w:val="0"/>
        <w:widowControl w:val="0"/>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乙方应保证本项目的投标技术、服务或其任何一部分不会产生因第三方提出侵犯其专利权、商标权或其他知识产权而引起的法律和经济纠纷；如因第三方提出其专利权、商标权或其他知识产权 的侵权之诉，则一切法律责任由乙方承担。</w:t>
      </w:r>
    </w:p>
    <w:p>
      <w:pPr>
        <w:pageBreakBefore w:val="0"/>
        <w:widowControl w:val="0"/>
        <w:numPr>
          <w:ilvl w:val="0"/>
          <w:numId w:val="15"/>
        </w:numPr>
        <w:kinsoku/>
        <w:wordWrap/>
        <w:overflowPunct/>
        <w:topLinePunct w:val="0"/>
        <w:autoSpaceDE/>
        <w:autoSpaceDN/>
        <w:bidi w:val="0"/>
        <w:adjustRightInd w:val="0"/>
        <w:snapToGrid w:val="0"/>
        <w:spacing w:line="360" w:lineRule="auto"/>
        <w:ind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保密</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pageBreakBefore w:val="0"/>
        <w:widowControl w:val="0"/>
        <w:numPr>
          <w:ilvl w:val="0"/>
          <w:numId w:val="16"/>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未经乙方事先书面同意，甲方不得将由乙方为本合同提供的条文、规格、计划、图纸、模型、样   品或 资料提供给与本合同无关的任何第三方，不得将其用于履行本合同之外的其它用途。即使向与履行本合同 有关的人员提供，也应注意保密并限于履行合同所必需的范围。</w:t>
      </w:r>
    </w:p>
    <w:p>
      <w:pPr>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除了合同本身之外，上款所列举的任何物件均是乙方的财产。如果乙方有要求，甲方在完成合同   后应 将这些物件及全部复制件还给乙方。</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违约责任与赔偿损失</w:t>
      </w:r>
    </w:p>
    <w:p>
      <w:pPr>
        <w:pageBreakBefore w:val="0"/>
        <w:widowControl w:val="0"/>
        <w:numPr>
          <w:ilvl w:val="0"/>
          <w:numId w:val="17"/>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乙方提供的服务不符合采购文件、投标文件或本合同规定的，甲方有权拒收，并且乙方须向甲方支付本合同总价5%的违约金。</w:t>
      </w:r>
    </w:p>
    <w:p>
      <w:pPr>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乙方未能按本合同规定的交货时间交付货物/提供服务，从逾期之日起每日按本合同总价3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的数额向甲方支付违约金；逾期 15 天以上（含 15 天）的，甲方有权终止合同，要求乙方支付违约金， 并且给甲方造成的经济损失由乙方承担赔偿责任。</w:t>
      </w:r>
    </w:p>
    <w:p>
      <w:pPr>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甲方无正当理由拒收接受服务，到期拒付服务款项的，甲方向乙方偿付本合同总价5%的违约金。甲方逾期付款，则每日按本合同总价的3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向乙方偿付违约金。</w:t>
      </w:r>
    </w:p>
    <w:p>
      <w:pPr>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其它违约责任按《中华人民共和国合同法》处理。 </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争端的解决</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合同执行过程中发生的任何争议，如双方不能通过友好协商解决，甲、乙双方一致同意向甲方所在地人民法院提起诉讼。</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不可抗力</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税费</w:t>
      </w:r>
    </w:p>
    <w:p>
      <w:pPr>
        <w:pageBreakBefore w:val="0"/>
        <w:widowControl w:val="0"/>
        <w:numPr>
          <w:ilvl w:val="0"/>
          <w:numId w:val="0"/>
        </w:numPr>
        <w:kinsoku/>
        <w:wordWrap/>
        <w:overflowPunct/>
        <w:topLinePunct w:val="0"/>
        <w:autoSpaceDE/>
        <w:autoSpaceDN/>
        <w:bidi w:val="0"/>
        <w:adjustRightInd w:val="0"/>
        <w:snapToGrid w:val="0"/>
        <w:spacing w:line="360" w:lineRule="auto"/>
        <w:ind w:left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在中国境内、外发生的与本合同执行有关的一切税费均由乙方负担。  </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其它</w:t>
      </w:r>
    </w:p>
    <w:p>
      <w:pPr>
        <w:pageBreakBefore w:val="0"/>
        <w:widowControl w:val="0"/>
        <w:numPr>
          <w:ilvl w:val="0"/>
          <w:numId w:val="18"/>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本合同所有附件、招标文件、投标文件、中标通知书均为合同的有效组成部分，与本合同具有同等法律效力。</w:t>
      </w:r>
    </w:p>
    <w:p>
      <w:pPr>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在执行本合同的过程中，所有经双方签署确认的文件（包括会议纪要、补充协议、往来信函）即成为本合同的有效组成部分。</w:t>
      </w:r>
    </w:p>
    <w:p>
      <w:pPr>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如一方地址、电话、传真号码有变更，应在变更当日内书面通知对方，否则，应承担相应责任。</w:t>
      </w:r>
    </w:p>
    <w:p>
      <w:pPr>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除甲方事先书面同意外，乙方不得部分或全部转让其应履行的合同项下的义务。  </w:t>
      </w:r>
    </w:p>
    <w:p>
      <w:pPr>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315" w:firstLineChars="15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合同生效</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rPr>
        <w:t>合同自甲乙双方法人代表或其授权代表签字盖章之日起生效。</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2、合同壹式</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rPr>
        <w:tab/>
      </w:r>
      <w:r>
        <w:rPr>
          <w:rFonts w:hint="eastAsia" w:ascii="宋体" w:hAnsi="宋体" w:eastAsia="宋体" w:cs="宋体"/>
          <w:b w:val="0"/>
          <w:bCs w:val="0"/>
          <w:color w:val="auto"/>
          <w:sz w:val="21"/>
          <w:szCs w:val="21"/>
        </w:rPr>
        <w:t>份，其中甲乙双方各执</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rPr>
        <w:tab/>
      </w:r>
      <w:r>
        <w:rPr>
          <w:rFonts w:hint="eastAsia" w:ascii="宋体" w:hAnsi="宋体" w:eastAsia="宋体" w:cs="宋体"/>
          <w:b w:val="0"/>
          <w:bCs w:val="0"/>
          <w:color w:val="auto"/>
          <w:sz w:val="21"/>
          <w:szCs w:val="21"/>
        </w:rPr>
        <w:t>份，政府采购代理机构执壹份，政府采购监督管理部 门</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ab/>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份。</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甲方（盖章）：</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乙方（盖章）：</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代表：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代表：</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签定地点：</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签定日期： 年 月 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签定日期： 年 月 日</w:t>
      </w:r>
    </w:p>
    <w:p>
      <w:pPr>
        <w:pageBreakBefore w:val="0"/>
        <w:widowControl w:val="0"/>
        <w:numPr>
          <w:ilvl w:val="0"/>
          <w:numId w:val="0"/>
        </w:numPr>
        <w:kinsoku/>
        <w:wordWrap/>
        <w:overflowPunct/>
        <w:topLinePunct w:val="0"/>
        <w:autoSpaceDE/>
        <w:autoSpaceDN/>
        <w:bidi w:val="0"/>
        <w:adjustRightInd w:val="0"/>
        <w:snapToGrid w:val="0"/>
        <w:spacing w:line="360" w:lineRule="auto"/>
        <w:ind w:firstLine="5250" w:firstLineChars="25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开户名称：</w:t>
      </w:r>
    </w:p>
    <w:p>
      <w:pPr>
        <w:pageBreakBefore w:val="0"/>
        <w:widowControl w:val="0"/>
        <w:numPr>
          <w:ilvl w:val="0"/>
          <w:numId w:val="0"/>
        </w:numPr>
        <w:kinsoku/>
        <w:wordWrap/>
        <w:overflowPunct/>
        <w:topLinePunct w:val="0"/>
        <w:autoSpaceDE/>
        <w:autoSpaceDN/>
        <w:bidi w:val="0"/>
        <w:adjustRightInd w:val="0"/>
        <w:snapToGrid w:val="0"/>
        <w:spacing w:line="360" w:lineRule="auto"/>
        <w:ind w:firstLine="5250" w:firstLineChars="25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银行账号： </w:t>
      </w:r>
    </w:p>
    <w:p>
      <w:pPr>
        <w:pageBreakBefore w:val="0"/>
        <w:widowControl w:val="0"/>
        <w:numPr>
          <w:ilvl w:val="0"/>
          <w:numId w:val="0"/>
        </w:numPr>
        <w:kinsoku/>
        <w:wordWrap/>
        <w:overflowPunct/>
        <w:topLinePunct w:val="0"/>
        <w:autoSpaceDE/>
        <w:autoSpaceDN/>
        <w:bidi w:val="0"/>
        <w:adjustRightInd w:val="0"/>
        <w:snapToGrid w:val="0"/>
        <w:spacing w:line="360" w:lineRule="auto"/>
        <w:ind w:firstLine="5250" w:firstLineChars="2500"/>
        <w:jc w:val="both"/>
        <w:textAlignment w:val="auto"/>
        <w:rPr>
          <w:rFonts w:hint="eastAsia" w:ascii="宋体"/>
          <w:b w:val="0"/>
          <w:bCs w:val="0"/>
          <w:color w:val="auto"/>
          <w:sz w:val="48"/>
        </w:rPr>
      </w:pPr>
      <w:r>
        <w:rPr>
          <w:rFonts w:hint="eastAsia" w:ascii="宋体" w:hAnsi="宋体" w:eastAsia="宋体" w:cs="宋体"/>
          <w:b w:val="0"/>
          <w:bCs w:val="0"/>
          <w:color w:val="auto"/>
          <w:sz w:val="21"/>
          <w:szCs w:val="21"/>
        </w:rPr>
        <w:t>开 户 行：</w:t>
      </w:r>
    </w:p>
    <w:p>
      <w:pPr>
        <w:sectPr>
          <w:headerReference r:id="rId12" w:type="default"/>
          <w:footerReference r:id="rId13" w:type="default"/>
          <w:pgSz w:w="11907" w:h="16840"/>
          <w:pgMar w:top="1440" w:right="1418" w:bottom="1440" w:left="1418" w:header="851" w:footer="851" w:gutter="0"/>
          <w:pgNumType w:fmt="decimal"/>
          <w:cols w:space="720" w:num="1"/>
          <w:docGrid w:linePitch="285" w:charSpace="0"/>
        </w:sectPr>
      </w:pPr>
    </w:p>
    <w:p>
      <w:pPr>
        <w:pStyle w:val="3"/>
        <w:bidi w:val="0"/>
        <w:jc w:val="both"/>
        <w:rPr>
          <w:rFonts w:hint="eastAsia"/>
        </w:rPr>
      </w:pPr>
    </w:p>
    <w:p>
      <w:pPr>
        <w:pStyle w:val="3"/>
        <w:bidi w:val="0"/>
        <w:jc w:val="both"/>
        <w:rPr>
          <w:rFonts w:hint="eastAsia"/>
        </w:rPr>
      </w:pPr>
    </w:p>
    <w:p>
      <w:pPr>
        <w:pStyle w:val="3"/>
        <w:bidi w:val="0"/>
        <w:jc w:val="both"/>
        <w:rPr>
          <w:rFonts w:hint="eastAsia"/>
        </w:rPr>
      </w:pPr>
    </w:p>
    <w:p>
      <w:pPr>
        <w:pStyle w:val="3"/>
        <w:bidi w:val="0"/>
        <w:jc w:val="center"/>
      </w:pPr>
      <w:r>
        <w:rPr>
          <w:rFonts w:hint="eastAsia"/>
        </w:rPr>
        <w:t>第五部分</w:t>
      </w:r>
    </w:p>
    <w:p>
      <w:pPr>
        <w:pStyle w:val="3"/>
        <w:bidi w:val="0"/>
        <w:spacing w:line="240" w:lineRule="auto"/>
        <w:jc w:val="center"/>
      </w:pPr>
      <w:r>
        <w:rPr>
          <w:rFonts w:hint="eastAsia"/>
        </w:rPr>
        <w:t>报</w:t>
      </w:r>
      <w:r>
        <w:t xml:space="preserve"> </w:t>
      </w:r>
      <w:r>
        <w:rPr>
          <w:rFonts w:hint="eastAsia"/>
        </w:rPr>
        <w:t>价</w:t>
      </w:r>
      <w:r>
        <w:t xml:space="preserve"> </w:t>
      </w:r>
      <w:r>
        <w:rPr>
          <w:rFonts w:hint="eastAsia"/>
        </w:rPr>
        <w:t>文</w:t>
      </w:r>
      <w:r>
        <w:t xml:space="preserve"> </w:t>
      </w:r>
      <w:r>
        <w:rPr>
          <w:rFonts w:hint="eastAsia"/>
        </w:rPr>
        <w:t>件</w:t>
      </w:r>
      <w:r>
        <w:t xml:space="preserve"> </w:t>
      </w:r>
      <w:r>
        <w:rPr>
          <w:rFonts w:hint="eastAsia"/>
        </w:rPr>
        <w:t>格</w:t>
      </w:r>
      <w:r>
        <w:t xml:space="preserve"> </w:t>
      </w:r>
      <w:r>
        <w:rPr>
          <w:rFonts w:hint="eastAsia"/>
        </w:rPr>
        <w:t>式</w:t>
      </w:r>
    </w:p>
    <w:p>
      <w:pPr>
        <w:pStyle w:val="3"/>
        <w:bidi w:val="0"/>
        <w:spacing w:line="240" w:lineRule="auto"/>
        <w:jc w:val="center"/>
        <w:rPr>
          <w:sz w:val="32"/>
          <w:szCs w:val="32"/>
        </w:rPr>
      </w:pPr>
      <w:r>
        <w:rPr>
          <w:rFonts w:hint="eastAsia"/>
          <w:sz w:val="32"/>
          <w:szCs w:val="32"/>
        </w:rPr>
        <w:t>（</w:t>
      </w:r>
      <w:r>
        <w:rPr>
          <w:rFonts w:hint="eastAsia"/>
          <w:sz w:val="32"/>
          <w:szCs w:val="32"/>
          <w:lang w:eastAsia="zh-CN"/>
        </w:rPr>
        <w:t>响应文件</w:t>
      </w:r>
      <w:r>
        <w:rPr>
          <w:rFonts w:hint="eastAsia"/>
          <w:sz w:val="32"/>
          <w:szCs w:val="32"/>
        </w:rPr>
        <w:t>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252033"/>
      <w:bookmarkStart w:id="6" w:name="_Toc202820350"/>
      <w:bookmarkStart w:id="7" w:name="_Toc202819877"/>
      <w:bookmarkStart w:id="8" w:name="_Toc202816995"/>
      <w:bookmarkStart w:id="9" w:name="_Toc202251699"/>
      <w:bookmarkStart w:id="10" w:name="_Toc202251074"/>
      <w:bookmarkStart w:id="11" w:name="_Toc202254104"/>
      <w:r>
        <w:rPr>
          <w:rFonts w:hint="eastAsia" w:ascii="宋体" w:hAnsi="宋体"/>
          <w:b/>
          <w:color w:val="auto"/>
          <w:sz w:val="32"/>
          <w:szCs w:val="32"/>
        </w:rPr>
        <w:t>自查表</w:t>
      </w:r>
      <w:bookmarkEnd w:id="5"/>
      <w:bookmarkEnd w:id="6"/>
      <w:bookmarkEnd w:id="7"/>
      <w:bookmarkEnd w:id="8"/>
      <w:bookmarkEnd w:id="9"/>
      <w:bookmarkEnd w:id="10"/>
      <w:bookmarkEnd w:id="11"/>
    </w:p>
    <w:tbl>
      <w:tblPr>
        <w:tblStyle w:val="28"/>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4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rPr>
            </w:pPr>
            <w:r>
              <w:rPr>
                <w:rFonts w:hint="eastAsia"/>
              </w:rPr>
              <w:t>1、供应商应具备《政府采购法》第二十二条规定的条件。</w:t>
            </w:r>
          </w:p>
          <w:p>
            <w:pPr>
              <w:rPr>
                <w:rFonts w:hint="eastAsia"/>
              </w:rPr>
            </w:pPr>
            <w:r>
              <w:rPr>
                <w:rFonts w:hint="eastAsia"/>
              </w:rPr>
              <w:t>1) 供应商必须是具有独立承担民事责任能力的在中华人民共和国境内注册的法人或其他组织，提交法人或者其他组织的营业执照等证明文件。</w:t>
            </w:r>
          </w:p>
          <w:p>
            <w:pPr>
              <w:rPr>
                <w:rFonts w:hint="eastAsia"/>
              </w:rPr>
            </w:pPr>
            <w:r>
              <w:rPr>
                <w:rFonts w:hint="eastAsia"/>
              </w:rPr>
              <w:t>2) 提供2019年度财务状况报告或2020年任意1个月的财务状况报告复印件，或银行出具的资信证明材料复印件。</w:t>
            </w:r>
          </w:p>
          <w:p>
            <w:pPr>
              <w:rPr>
                <w:rFonts w:hint="eastAsia"/>
              </w:rPr>
            </w:pPr>
            <w:r>
              <w:rPr>
                <w:rFonts w:hint="eastAsia"/>
              </w:rPr>
              <w:t>3) 提供2020年任意1个月缴纳税收和社会保险的凭据证明材料复印件；如依法免税或不需要缴纳社会保障资金的，应提供相应文件证明。</w:t>
            </w:r>
          </w:p>
          <w:p>
            <w:pPr>
              <w:rPr>
                <w:rFonts w:hint="eastAsia"/>
              </w:rPr>
            </w:pPr>
            <w:r>
              <w:rPr>
                <w:rFonts w:hint="eastAsia"/>
              </w:rPr>
              <w:t>4) 提供履行合同所必需的设备和专业技术能力的书面声明（提供《响应供应商资格声明函》）。</w:t>
            </w:r>
          </w:p>
          <w:p>
            <w:pPr>
              <w:rPr>
                <w:rFonts w:hint="eastAsia"/>
              </w:rPr>
            </w:pPr>
            <w:r>
              <w:rPr>
                <w:rFonts w:hint="eastAsia"/>
              </w:rPr>
              <w:t>5) 提供参加政府采购活动前3年内在经营活动中没有重大违法记录的书面声明；（提供《响应供应商资格声明函》）。</w:t>
            </w:r>
          </w:p>
          <w:p>
            <w:pPr>
              <w:pStyle w:val="2"/>
              <w:rPr>
                <w:rFonts w:hint="eastAsia" w:eastAsia="宋体"/>
                <w:lang w:eastAsia="zh-CN"/>
              </w:rPr>
            </w:pPr>
            <w:r>
              <w:rPr>
                <w:rFonts w:hint="eastAsia" w:ascii="Times New Roman" w:hAnsi="Times New Roman" w:eastAsia="宋体" w:cs="Times New Roman"/>
                <w:kern w:val="0"/>
                <w:sz w:val="21"/>
                <w:szCs w:val="20"/>
                <w:lang w:val="en-US" w:eastAsia="zh-CN" w:bidi="ar-SA"/>
              </w:rPr>
              <w:t>6）法律、行政法规规定的其他条件。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2、投标供应商具有独立承担民事责任能力的在中华人民共和国境内注册的法人或其他组织，具有从事本项目的经营范围。</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3、投标供应商未被列入“信用中国”网站(www.creditchina.gov.cn )“记录失信被执行人或重大税收 违法案件当事人名单或政府采购严重违法失信行为”记录名单；不处于中国政府采购网 (www.ccgp.gov.cn)“政府采购严重违法失信行为信息记录”中的禁止参加政府采购活动期间。【在“信用中国”网站（www.creditchina.gov.cn）及中国政府采购网(www.ccgp.gov.cn )查询结果以投标提供截图并加盖公章为准，如相关失信记录已失效，投标需提供相关证明资料。查询有效期为自本项目采购公告发出之日起至递交投标文件截止时间止】；</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sym w:font="Wingdings 2" w:char="00A3"/>
            </w: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cs="宋体"/>
                <w:color w:val="auto"/>
                <w:lang w:val="en-US" w:eastAsia="zh-CN"/>
              </w:rPr>
            </w:pPr>
            <w:r>
              <w:rPr>
                <w:rFonts w:hint="eastAsia" w:ascii="宋体" w:cs="宋体"/>
                <w:color w:val="auto"/>
                <w:lang w:val="en-US" w:eastAsia="zh-CN"/>
              </w:rPr>
              <w:t>4、为采购项目提供整体设计、规范编制或者项目管理、监理、检测等服务的供应商，不得再参加该采购项目的其他采购活动。（提供《响应供应商资格声明函》）。</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sym w:font="Wingdings 2" w:char="00A3"/>
            </w: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cs="宋体"/>
                <w:color w:val="auto"/>
                <w:lang w:val="en-US" w:eastAsia="zh-CN"/>
              </w:rPr>
            </w:pPr>
            <w:r>
              <w:rPr>
                <w:rFonts w:hint="eastAsia" w:ascii="宋体" w:cs="宋体"/>
                <w:color w:val="auto"/>
                <w:lang w:val="en-US" w:eastAsia="zh-CN"/>
              </w:rPr>
              <w:t>5、单位负责人为同一人或者存在直接控股、管理关系的不同供应商，不得参加同一合同项下的政府采购活动。（提供《响应供应商资格声明函》）。</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sym w:font="Wingdings 2" w:char="00A3"/>
            </w: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auto"/>
                <w:lang w:val="en-US" w:eastAsia="zh-CN"/>
              </w:rPr>
            </w:pPr>
            <w:r>
              <w:rPr>
                <w:rFonts w:hint="eastAsia" w:ascii="宋体" w:hAnsi="宋体" w:cs="宋体"/>
                <w:color w:val="auto"/>
                <w:lang w:val="en-US" w:eastAsia="zh-CN"/>
              </w:rPr>
              <w:t>6、本项目不接受联合体投标，不允许转包和分包。</w:t>
            </w:r>
          </w:p>
        </w:tc>
        <w:tc>
          <w:tcPr>
            <w:tcW w:w="1881" w:type="dxa"/>
            <w:tcBorders>
              <w:top w:val="outset" w:color="111111" w:sz="6" w:space="0"/>
              <w:left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sym w:font="Wingdings 2" w:char="00A3"/>
            </w: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lang w:eastAsia="zh-CN"/>
              </w:rPr>
              <w:t>响应文件</w:t>
            </w:r>
            <w:r>
              <w:rPr>
                <w:rFonts w:hint="eastAsia" w:ascii="宋体" w:hAnsi="宋体" w:cs="宋体"/>
                <w:color w:val="auto"/>
              </w:rPr>
              <w:t>完整、符合磋商文件规定的密封、签署、</w:t>
            </w:r>
            <w:r>
              <w:rPr>
                <w:rFonts w:ascii="宋体" w:hAnsi="宋体" w:cs="宋体"/>
                <w:color w:val="auto"/>
              </w:rPr>
              <w:t xml:space="preserve"> </w:t>
            </w:r>
            <w:r>
              <w:rPr>
                <w:rFonts w:hint="eastAsia" w:ascii="宋体" w:hAnsi="宋体" w:cs="宋体"/>
                <w:color w:val="auto"/>
              </w:rPr>
              <w:t>盖章</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具备招标文件中规定资格要求的及资格证明文件齐全；</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lang w:eastAsia="zh-CN"/>
              </w:rPr>
              <w:t>磋商</w:t>
            </w:r>
            <w:r>
              <w:rPr>
                <w:rFonts w:hint="eastAsia" w:ascii="宋体" w:hAnsi="宋体" w:cs="宋体"/>
                <w:color w:val="auto"/>
              </w:rPr>
              <w:t>函已提交并符合招标文件要求的；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按照招标文件规定要求签署、盖章且响应文件有法定代表人签字，或签字人有法定代表人有效授权书的；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首次报价未超过本项目的最高限价的；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3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响应文件完全满足招标文件实质性条款，无不响应或负偏离的；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09"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响应文件没有招标文件中规定的其它无效投标条款的；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09" w:hRule="atLeast"/>
          <w:jc w:val="center"/>
        </w:trPr>
        <w:tc>
          <w:tcPr>
            <w:tcW w:w="783" w:type="dxa"/>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按有关法律、法规、规章不属于投标无效的。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w:t>
            </w:r>
            <w:r>
              <w:rPr>
                <w:rFonts w:hint="eastAsia" w:ascii="宋体" w:hAnsi="宋体" w:cs="宋体"/>
                <w:color w:val="auto"/>
                <w:lang w:eastAsia="zh-CN"/>
              </w:rPr>
              <w:t>响应文件</w:t>
            </w: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pStyle w:val="13"/>
        <w:spacing w:after="0" w:line="360" w:lineRule="auto"/>
        <w:rPr>
          <w:rFonts w:ascii="宋体"/>
          <w:color w:val="auto"/>
          <w:sz w:val="21"/>
          <w:szCs w:val="21"/>
        </w:rPr>
      </w:pPr>
      <w:r>
        <w:rPr>
          <w:rFonts w:hint="eastAsia" w:ascii="宋体" w:hAnsi="宋体"/>
          <w:color w:val="auto"/>
          <w:sz w:val="21"/>
          <w:szCs w:val="21"/>
        </w:rPr>
        <w:t>注：以上材料将作为</w:t>
      </w:r>
      <w:r>
        <w:rPr>
          <w:rFonts w:hint="eastAsia" w:ascii="宋体" w:hAnsi="宋体"/>
          <w:color w:val="auto"/>
          <w:sz w:val="21"/>
          <w:szCs w:val="21"/>
          <w:lang w:eastAsia="zh-CN"/>
        </w:rPr>
        <w:t>响应供应商</w:t>
      </w:r>
      <w:r>
        <w:rPr>
          <w:rFonts w:hint="eastAsia" w:ascii="宋体" w:hAnsi="宋体"/>
          <w:color w:val="auto"/>
          <w:sz w:val="21"/>
          <w:szCs w:val="21"/>
        </w:rPr>
        <w:t>合格性和有效性审核的重要内容之一，</w:t>
      </w:r>
      <w:r>
        <w:rPr>
          <w:rFonts w:hint="eastAsia" w:ascii="宋体" w:hAnsi="宋体"/>
          <w:color w:val="auto"/>
          <w:sz w:val="21"/>
          <w:szCs w:val="21"/>
          <w:lang w:eastAsia="zh-CN"/>
        </w:rPr>
        <w:t>响应供应商</w:t>
      </w:r>
      <w:r>
        <w:rPr>
          <w:rFonts w:hint="eastAsia" w:ascii="宋体" w:hAnsi="宋体"/>
          <w:color w:val="auto"/>
          <w:sz w:val="21"/>
          <w:szCs w:val="21"/>
        </w:rPr>
        <w:t>必须严格按照其内容及序列要求在</w:t>
      </w:r>
      <w:r>
        <w:rPr>
          <w:rFonts w:hint="eastAsia" w:ascii="宋体" w:hAnsi="宋体"/>
          <w:color w:val="auto"/>
          <w:sz w:val="21"/>
          <w:szCs w:val="21"/>
          <w:lang w:eastAsia="zh-CN"/>
        </w:rPr>
        <w:t>响应文件</w:t>
      </w:r>
      <w:r>
        <w:rPr>
          <w:rFonts w:hint="eastAsia" w:ascii="宋体" w:hAnsi="宋体"/>
          <w:color w:val="auto"/>
          <w:sz w:val="21"/>
          <w:szCs w:val="21"/>
        </w:rPr>
        <w:t>中对应如实提供，对缺漏和不符合项将会直接导致无效报价！在对应的□打“√”。</w:t>
      </w:r>
    </w:p>
    <w:p>
      <w:pPr>
        <w:pStyle w:val="13"/>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lang w:eastAsia="zh-CN"/>
        </w:rPr>
        <w:t>响应供应商</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lang w:eastAsia="zh-CN"/>
        </w:rPr>
        <w:t>响应供应商</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footerReference r:id="rId14"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8"/>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5"/>
              <w:spacing w:before="0" w:after="0" w:line="360" w:lineRule="auto"/>
              <w:rPr>
                <w:rFonts w:ascii="宋体"/>
                <w:color w:val="auto"/>
                <w:sz w:val="21"/>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hint="eastAsia" w:ascii="宋体" w:eastAsia="宋体"/>
                <w:color w:val="auto"/>
                <w:szCs w:val="21"/>
                <w:lang w:eastAsia="zh-CN"/>
              </w:rPr>
            </w:pPr>
            <w:r>
              <w:rPr>
                <w:rFonts w:hint="eastAsia" w:ascii="宋体" w:hAnsi="宋体"/>
                <w:color w:val="auto"/>
                <w:szCs w:val="21"/>
              </w:rPr>
              <w:t>见</w:t>
            </w:r>
            <w:r>
              <w:rPr>
                <w:rFonts w:hint="eastAsia" w:ascii="宋体" w:hAnsi="宋体"/>
                <w:color w:val="auto"/>
                <w:szCs w:val="21"/>
                <w:lang w:eastAsia="zh-CN"/>
              </w:rPr>
              <w:t>响应文件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w:t>
            </w:r>
            <w:r>
              <w:rPr>
                <w:rFonts w:hint="eastAsia" w:ascii="宋体" w:hAnsi="宋体"/>
                <w:color w:val="auto"/>
                <w:szCs w:val="21"/>
                <w:lang w:eastAsia="zh-CN"/>
              </w:rPr>
              <w:t>响应供应商</w:t>
            </w:r>
            <w:r>
              <w:rPr>
                <w:rFonts w:hint="eastAsia" w:ascii="宋体" w:hAnsi="宋体"/>
                <w:color w:val="auto"/>
                <w:szCs w:val="21"/>
              </w:rPr>
              <w:t>应分别结合磋商文件第二部分</w:t>
            </w:r>
            <w:r>
              <w:rPr>
                <w:rFonts w:hint="eastAsia" w:ascii="宋体" w:hAnsi="宋体"/>
                <w:color w:val="auto"/>
                <w:szCs w:val="21"/>
                <w:lang w:eastAsia="zh-CN"/>
              </w:rPr>
              <w:t>响应供应商</w:t>
            </w:r>
            <w:r>
              <w:rPr>
                <w:rFonts w:hint="eastAsia" w:ascii="宋体" w:hAnsi="宋体"/>
                <w:color w:val="auto"/>
                <w:szCs w:val="21"/>
              </w:rPr>
              <w:t>须知中《</w:t>
            </w:r>
            <w:r>
              <w:rPr>
                <w:rFonts w:hint="eastAsia" w:ascii="宋体" w:hAnsi="宋体"/>
                <w:color w:val="auto"/>
                <w:szCs w:val="21"/>
                <w:lang w:eastAsia="zh-CN"/>
              </w:rPr>
              <w:t>商务技术评分</w:t>
            </w:r>
            <w:r>
              <w:rPr>
                <w:rFonts w:hint="eastAsia" w:ascii="宋体" w:hAnsi="宋体"/>
                <w:color w:val="auto"/>
                <w:szCs w:val="21"/>
              </w:rPr>
              <w:t>表》的内容，列出评审分项在</w:t>
            </w:r>
            <w:r>
              <w:rPr>
                <w:rFonts w:hint="eastAsia" w:ascii="宋体" w:hAnsi="宋体"/>
                <w:color w:val="auto"/>
                <w:szCs w:val="21"/>
                <w:lang w:eastAsia="zh-CN"/>
              </w:rPr>
              <w:t>响应文件</w:t>
            </w:r>
            <w:r>
              <w:rPr>
                <w:rFonts w:hint="eastAsia" w:ascii="宋体" w:hAnsi="宋体"/>
                <w:color w:val="auto"/>
                <w:szCs w:val="21"/>
              </w:rPr>
              <w:t>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lang w:eastAsia="zh-CN"/>
        </w:rPr>
        <w:t>响应供应商</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lang w:eastAsia="zh-CN"/>
        </w:rPr>
        <w:t>响应供应商</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rPr>
          <w:color w:val="auto"/>
          <w:sz w:val="36"/>
        </w:rPr>
      </w:pPr>
    </w:p>
    <w:p>
      <w:pPr>
        <w:pStyle w:val="21"/>
        <w:rPr>
          <w:color w:val="auto"/>
          <w:sz w:val="36"/>
        </w:rPr>
      </w:pPr>
    </w:p>
    <w:p>
      <w:pPr>
        <w:rPr>
          <w:color w:val="auto"/>
          <w:sz w:val="36"/>
        </w:rPr>
      </w:pPr>
    </w:p>
    <w:p>
      <w:pPr>
        <w:pStyle w:val="21"/>
        <w:rPr>
          <w:color w:val="auto"/>
          <w:sz w:val="36"/>
        </w:rPr>
      </w:pPr>
    </w:p>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w:t>
      </w:r>
      <w:r>
        <w:rPr>
          <w:rFonts w:hint="eastAsia"/>
          <w:color w:val="auto"/>
          <w:sz w:val="32"/>
          <w:szCs w:val="32"/>
          <w:lang w:eastAsia="zh-CN"/>
        </w:rPr>
        <w:t>响应文件</w:t>
      </w:r>
      <w:r>
        <w:rPr>
          <w:rFonts w:hint="eastAsia"/>
          <w:color w:val="auto"/>
          <w:sz w:val="32"/>
          <w:szCs w:val="32"/>
        </w:rPr>
        <w:t>格式</w:t>
      </w:r>
      <w:bookmarkEnd w:id="13"/>
      <w:bookmarkStart w:id="14" w:name="_Hlt10456397"/>
      <w:bookmarkEnd w:id="14"/>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lang w:eastAsia="zh-CN"/>
        </w:rPr>
        <w:t>响应供应商</w:t>
      </w:r>
      <w:r>
        <w:rPr>
          <w:rFonts w:hint="eastAsia"/>
          <w:color w:val="auto"/>
        </w:rPr>
        <w:t>名称：</w:t>
      </w:r>
      <w:r>
        <w:rPr>
          <w:color w:val="auto"/>
        </w:rPr>
        <w:t xml:space="preserve">                                  </w:t>
      </w:r>
      <w:r>
        <w:rPr>
          <w:rFonts w:hint="eastAsia"/>
          <w:color w:val="auto"/>
          <w:lang w:val="en-US" w:eastAsia="zh-CN"/>
        </w:rPr>
        <w:t xml:space="preserve">                  </w:t>
      </w:r>
      <w:r>
        <w:rPr>
          <w:rFonts w:hint="eastAsia"/>
          <w:color w:val="auto"/>
        </w:rPr>
        <w:t>编号：</w:t>
      </w:r>
      <w:r>
        <w:rPr>
          <w:rFonts w:hint="eastAsia"/>
          <w:color w:val="auto"/>
          <w:szCs w:val="21"/>
          <w:lang w:eastAsia="zh-CN"/>
        </w:rPr>
        <w:t xml:space="preserve">GDYX2021YB0005   </w:t>
      </w:r>
    </w:p>
    <w:tbl>
      <w:tblPr>
        <w:tblStyle w:val="28"/>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5"/>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5"/>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5"/>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5"/>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lang w:eastAsia="zh-CN"/>
        </w:rPr>
        <w:t>响应供应商</w:t>
      </w:r>
      <w:r>
        <w:rPr>
          <w:rFonts w:hint="eastAsia" w:ascii="Tahoma" w:hAnsi="Tahoma" w:cs="Tahoma"/>
          <w:color w:val="auto"/>
        </w:rPr>
        <w:t>（公章）：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5"/>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3"/>
        <w:spacing w:line="480" w:lineRule="exact"/>
        <w:rPr>
          <w:color w:val="auto"/>
          <w:sz w:val="32"/>
          <w:szCs w:val="32"/>
        </w:rPr>
      </w:pPr>
      <w:r>
        <w:rPr>
          <w:color w:val="auto"/>
        </w:rPr>
        <w:br w:type="page"/>
      </w:r>
      <w:bookmarkStart w:id="15" w:name="_Hlt10519541"/>
      <w:bookmarkEnd w:id="15"/>
      <w:bookmarkStart w:id="16" w:name="_Toc42951052"/>
      <w:bookmarkStart w:id="17" w:name="_Hlt10456257"/>
      <w:r>
        <w:rPr>
          <w:color w:val="auto"/>
          <w:sz w:val="32"/>
          <w:szCs w:val="32"/>
        </w:rPr>
        <w:t>2</w:t>
      </w:r>
      <w:r>
        <w:rPr>
          <w:rFonts w:hint="eastAsia"/>
          <w:color w:val="auto"/>
          <w:sz w:val="32"/>
          <w:szCs w:val="32"/>
        </w:rPr>
        <w:t>．</w:t>
      </w:r>
      <w:r>
        <w:rPr>
          <w:rFonts w:hint="eastAsia"/>
          <w:color w:val="auto"/>
          <w:sz w:val="32"/>
          <w:szCs w:val="32"/>
          <w:lang w:eastAsia="zh-CN"/>
        </w:rPr>
        <w:t>磋商函</w:t>
      </w:r>
      <w:r>
        <w:rPr>
          <w:rFonts w:hint="eastAsia"/>
          <w:color w:val="auto"/>
          <w:sz w:val="32"/>
          <w:szCs w:val="32"/>
        </w:rPr>
        <w:t>格式</w:t>
      </w:r>
      <w:bookmarkEnd w:id="16"/>
    </w:p>
    <w:bookmarkEnd w:id="17"/>
    <w:p>
      <w:pPr>
        <w:spacing w:line="480" w:lineRule="exact"/>
        <w:jc w:val="center"/>
        <w:rPr>
          <w:rFonts w:hint="eastAsia" w:ascii="宋体"/>
          <w:b/>
          <w:color w:val="auto"/>
          <w:sz w:val="32"/>
          <w:lang w:eastAsia="zh-CN"/>
        </w:rPr>
      </w:pPr>
      <w:r>
        <w:rPr>
          <w:rFonts w:hint="eastAsia" w:ascii="宋体"/>
          <w:b/>
          <w:color w:val="auto"/>
          <w:sz w:val="32"/>
          <w:lang w:eastAsia="zh-CN"/>
        </w:rPr>
        <w:t>磋</w:t>
      </w:r>
      <w:r>
        <w:rPr>
          <w:rFonts w:hint="eastAsia" w:ascii="宋体"/>
          <w:b/>
          <w:color w:val="auto"/>
          <w:sz w:val="32"/>
          <w:lang w:val="en-US" w:eastAsia="zh-CN"/>
        </w:rPr>
        <w:t xml:space="preserve"> </w:t>
      </w:r>
      <w:r>
        <w:rPr>
          <w:rFonts w:hint="eastAsia" w:ascii="宋体"/>
          <w:b/>
          <w:color w:val="auto"/>
          <w:sz w:val="32"/>
          <w:lang w:eastAsia="zh-CN"/>
        </w:rPr>
        <w:t>商</w:t>
      </w:r>
      <w:r>
        <w:rPr>
          <w:rFonts w:hint="eastAsia" w:ascii="宋体"/>
          <w:b/>
          <w:color w:val="auto"/>
          <w:sz w:val="32"/>
          <w:lang w:val="en-US" w:eastAsia="zh-CN"/>
        </w:rPr>
        <w:t xml:space="preserve"> </w:t>
      </w:r>
      <w:r>
        <w:rPr>
          <w:rFonts w:hint="eastAsia" w:ascii="宋体"/>
          <w:b/>
          <w:color w:val="auto"/>
          <w:sz w:val="32"/>
          <w:lang w:eastAsia="zh-CN"/>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keepNext w:val="0"/>
        <w:keepLines w:val="0"/>
        <w:widowControl/>
        <w:suppressLineNumbers w:val="0"/>
        <w:spacing w:line="360" w:lineRule="auto"/>
        <w:ind w:firstLine="420" w:firstLineChars="200"/>
        <w:jc w:val="left"/>
        <w:rPr>
          <w:rFonts w:ascii="宋体"/>
          <w:color w:val="auto"/>
        </w:rPr>
      </w:pPr>
      <w:r>
        <w:rPr>
          <w:rFonts w:ascii="宋体"/>
          <w:color w:val="auto"/>
        </w:rPr>
        <w:t xml:space="preserve">     </w:t>
      </w:r>
    </w:p>
    <w:p>
      <w:pPr>
        <w:keepNext w:val="0"/>
        <w:keepLines w:val="0"/>
        <w:widowControl/>
        <w:suppressLineNumbers w:val="0"/>
        <w:spacing w:line="360" w:lineRule="auto"/>
        <w:ind w:firstLine="840" w:firstLineChars="400"/>
        <w:jc w:val="left"/>
        <w:rPr>
          <w:sz w:val="21"/>
          <w:szCs w:val="21"/>
        </w:rPr>
      </w:pPr>
      <w:r>
        <w:rPr>
          <w:rFonts w:hint="eastAsia" w:ascii="宋体" w:hAnsi="宋体" w:eastAsia="宋体" w:cs="宋体"/>
          <w:color w:val="000000"/>
          <w:kern w:val="0"/>
          <w:sz w:val="21"/>
          <w:szCs w:val="21"/>
          <w:lang w:val="en-US" w:eastAsia="zh-CN" w:bidi="ar"/>
        </w:rPr>
        <w:t>我方确认收到贵方</w:t>
      </w:r>
      <w:r>
        <w:rPr>
          <w:rFonts w:hint="eastAsia" w:ascii="宋体" w:hAnsi="宋体" w:eastAsia="宋体" w:cs="宋体"/>
          <w:color w:val="000000"/>
          <w:kern w:val="0"/>
          <w:sz w:val="21"/>
          <w:szCs w:val="21"/>
          <w:u w:val="single"/>
          <w:lang w:val="en-US" w:eastAsia="zh-CN" w:bidi="ar"/>
        </w:rPr>
        <w:t xml:space="preserve"> （项目名称） </w:t>
      </w:r>
      <w:r>
        <w:rPr>
          <w:rFonts w:hint="eastAsia" w:ascii="宋体" w:hAnsi="宋体" w:eastAsia="宋体" w:cs="宋体"/>
          <w:color w:val="000000"/>
          <w:kern w:val="0"/>
          <w:sz w:val="21"/>
          <w:szCs w:val="21"/>
          <w:lang w:val="en-US" w:eastAsia="zh-CN" w:bidi="ar"/>
        </w:rPr>
        <w:t>采购货物及相关服务的竞争性磋商文件（采购编号：</w:t>
      </w:r>
      <w:r>
        <w:rPr>
          <w:rFonts w:hint="eastAsia" w:ascii="宋体" w:hAnsi="宋体" w:cs="宋体"/>
          <w:color w:val="000000"/>
          <w:kern w:val="0"/>
          <w:sz w:val="21"/>
          <w:szCs w:val="21"/>
          <w:lang w:val="en-US" w:eastAsia="zh-CN" w:bidi="ar"/>
        </w:rPr>
        <w:t>GDYX2021YB0005</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u w:val="single"/>
          <w:lang w:val="en-US" w:eastAsia="zh-CN" w:bidi="ar"/>
        </w:rPr>
        <w:t xml:space="preserve">(响应供应商名称) </w:t>
      </w:r>
      <w:r>
        <w:rPr>
          <w:rFonts w:hint="eastAsia" w:ascii="宋体" w:hAnsi="宋体" w:eastAsia="宋体" w:cs="宋体"/>
          <w:color w:val="000000"/>
          <w:kern w:val="0"/>
          <w:sz w:val="21"/>
          <w:szCs w:val="21"/>
          <w:lang w:val="en-US" w:eastAsia="zh-CN" w:bidi="ar"/>
        </w:rPr>
        <w:t>作为响应供应商已正式授权</w:t>
      </w:r>
      <w:r>
        <w:rPr>
          <w:rFonts w:hint="eastAsia" w:ascii="宋体" w:hAnsi="宋体" w:eastAsia="宋体" w:cs="宋体"/>
          <w:color w:val="000000"/>
          <w:kern w:val="0"/>
          <w:sz w:val="21"/>
          <w:szCs w:val="21"/>
          <w:u w:val="single"/>
          <w:lang w:val="en-US" w:eastAsia="zh-CN" w:bidi="ar"/>
        </w:rPr>
        <w:t xml:space="preserve">(响应供应商授权代表全名) </w:t>
      </w:r>
      <w:r>
        <w:rPr>
          <w:rFonts w:hint="eastAsia" w:ascii="宋体" w:hAnsi="宋体" w:eastAsia="宋体" w:cs="宋体"/>
          <w:color w:val="000000"/>
          <w:kern w:val="0"/>
          <w:sz w:val="21"/>
          <w:szCs w:val="21"/>
          <w:lang w:val="en-US" w:eastAsia="zh-CN" w:bidi="ar"/>
        </w:rPr>
        <w:t xml:space="preserve">为我方签名代表，代表我方提交响应文件进行磋商。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签名代表在此声明并同意：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1.我们愿意遵守政府采购代理机构发布竞争性磋商文件的各项规定，自愿参加磋商, 并已清楚竞争性 磋商文件的要求及有关文件规定，并严格按照竞争性磋商文件的规定履行全部责任和义务。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2.我们同意本磋商自磋商截止之日起</w:t>
      </w:r>
      <w:r>
        <w:rPr>
          <w:rFonts w:hint="eastAsia" w:ascii="宋体" w:hAnsi="宋体" w:eastAsia="宋体" w:cs="宋体"/>
          <w:color w:val="000000"/>
          <w:kern w:val="0"/>
          <w:sz w:val="21"/>
          <w:szCs w:val="21"/>
          <w:u w:val="single"/>
          <w:lang w:val="en-US" w:eastAsia="zh-CN" w:bidi="ar"/>
        </w:rPr>
        <w:t xml:space="preserve"> 90 </w:t>
      </w:r>
      <w:r>
        <w:rPr>
          <w:rFonts w:hint="eastAsia" w:ascii="宋体" w:hAnsi="宋体" w:eastAsia="宋体" w:cs="宋体"/>
          <w:color w:val="000000"/>
          <w:kern w:val="0"/>
          <w:sz w:val="21"/>
          <w:szCs w:val="21"/>
          <w:lang w:val="en-US" w:eastAsia="zh-CN" w:bidi="ar"/>
        </w:rPr>
        <w:t xml:space="preserve">天内有效。如果我们的磋商被接受，则直至合同生效时止，本磋商始终有效并不撤回已递交的响应文件。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3.我们已经详细地阅读并完全明白了全部竞争性磋商文件及附件，包括澄清（如有）及参考文件， 我们完全理解本竞争性磋商文件的要求，我们同意放弃对竞争性磋商文件提出不明或误解的一切权力。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4.我们同意提供招标采购单位与评标委员会要求的有关磋商的一切数据或资料。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5.我们理解招标采购单位与磋商小组并无义务必须接受最低报价的磋商或其它任何磋商，完全理解政府采购代理机构拒绝迟到的任何磋商和最低磋商报价不是被授予成交的唯一条件。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6.如果我们未对竞争性磋商文件全部要求作出实质性响应，则完全同意并接受按无效磋商处理。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8.如果我们提供的声明或承诺不真实，则完全同意认定为我司提供虚假材料，并同意作相应处理。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9.我们是依法注册的法人，在法律、财务及运作上完全独立于本项目采购人、用户单位（如有）和政府采购代理机构。 </w:t>
      </w:r>
    </w:p>
    <w:p>
      <w:pPr>
        <w:keepNext w:val="0"/>
        <w:keepLines w:val="0"/>
        <w:widowControl/>
        <w:suppressLineNumbers w:val="0"/>
        <w:spacing w:line="360" w:lineRule="auto"/>
        <w:jc w:val="left"/>
        <w:rPr>
          <w:rFonts w:ascii="宋体"/>
          <w:color w:val="auto"/>
          <w:sz w:val="21"/>
          <w:szCs w:val="21"/>
          <w:u w:val="single"/>
        </w:rPr>
      </w:pPr>
      <w:r>
        <w:rPr>
          <w:rFonts w:hint="eastAsia" w:ascii="宋体" w:hAnsi="宋体" w:eastAsia="宋体" w:cs="宋体"/>
          <w:color w:val="000000"/>
          <w:kern w:val="0"/>
          <w:sz w:val="21"/>
          <w:szCs w:val="21"/>
          <w:lang w:val="en-US" w:eastAsia="zh-CN" w:bidi="ar"/>
        </w:rPr>
        <w:t>10.备注：本磋商函内容不得擅自删改。</w:t>
      </w:r>
    </w:p>
    <w:p>
      <w:pPr>
        <w:spacing w:line="360" w:lineRule="auto"/>
        <w:jc w:val="both"/>
        <w:rPr>
          <w:rFonts w:hint="eastAsia" w:ascii="宋体"/>
          <w:color w:val="auto"/>
          <w:sz w:val="21"/>
          <w:szCs w:val="21"/>
          <w:lang w:eastAsia="zh-CN"/>
        </w:rPr>
      </w:pPr>
    </w:p>
    <w:p>
      <w:pPr>
        <w:spacing w:line="360" w:lineRule="auto"/>
        <w:jc w:val="both"/>
        <w:rPr>
          <w:rFonts w:hint="eastAsia" w:ascii="宋体"/>
          <w:color w:val="auto"/>
          <w:sz w:val="21"/>
          <w:szCs w:val="21"/>
          <w:lang w:eastAsia="zh-CN"/>
        </w:rPr>
      </w:pPr>
    </w:p>
    <w:p>
      <w:pPr>
        <w:spacing w:line="360" w:lineRule="auto"/>
        <w:jc w:val="both"/>
        <w:rPr>
          <w:rFonts w:ascii="宋体"/>
          <w:color w:val="auto"/>
          <w:sz w:val="21"/>
          <w:szCs w:val="21"/>
        </w:rPr>
      </w:pPr>
      <w:r>
        <w:rPr>
          <w:rFonts w:hint="eastAsia" w:ascii="宋体"/>
          <w:color w:val="auto"/>
          <w:sz w:val="21"/>
          <w:szCs w:val="21"/>
          <w:lang w:eastAsia="zh-CN"/>
        </w:rPr>
        <w:t>响应供应商</w:t>
      </w:r>
      <w:r>
        <w:rPr>
          <w:rFonts w:hint="eastAsia" w:ascii="宋体"/>
          <w:color w:val="auto"/>
          <w:sz w:val="21"/>
          <w:szCs w:val="21"/>
        </w:rPr>
        <w:t>（公章）：</w:t>
      </w:r>
    </w:p>
    <w:p>
      <w:pPr>
        <w:spacing w:line="360" w:lineRule="auto"/>
        <w:jc w:val="both"/>
        <w:rPr>
          <w:rFonts w:ascii="宋体"/>
          <w:color w:val="auto"/>
          <w:sz w:val="21"/>
          <w:szCs w:val="21"/>
        </w:rPr>
      </w:pPr>
      <w:r>
        <w:rPr>
          <w:rFonts w:hint="eastAsia" w:ascii="宋体"/>
          <w:color w:val="auto"/>
          <w:sz w:val="21"/>
          <w:szCs w:val="21"/>
          <w:lang w:eastAsia="zh-CN"/>
        </w:rPr>
        <w:t>响应供应商</w:t>
      </w:r>
      <w:r>
        <w:rPr>
          <w:rFonts w:hint="eastAsia" w:ascii="宋体"/>
          <w:color w:val="auto"/>
          <w:sz w:val="21"/>
          <w:szCs w:val="21"/>
        </w:rPr>
        <w:t>地址：</w:t>
      </w:r>
    </w:p>
    <w:p>
      <w:pPr>
        <w:spacing w:line="360" w:lineRule="auto"/>
        <w:jc w:val="both"/>
        <w:rPr>
          <w:rFonts w:ascii="宋体"/>
          <w:color w:val="auto"/>
          <w:sz w:val="21"/>
          <w:szCs w:val="21"/>
        </w:rPr>
      </w:pPr>
      <w:r>
        <w:rPr>
          <w:rFonts w:hint="eastAsia" w:ascii="宋体"/>
          <w:color w:val="auto"/>
          <w:sz w:val="21"/>
          <w:szCs w:val="21"/>
        </w:rPr>
        <w:t>响应供应商法定代表人（或法定代表人授权代表）签字或盖章：</w:t>
      </w:r>
    </w:p>
    <w:p>
      <w:pPr>
        <w:spacing w:line="360" w:lineRule="auto"/>
        <w:jc w:val="both"/>
        <w:rPr>
          <w:rFonts w:ascii="宋体"/>
          <w:color w:val="auto"/>
          <w:sz w:val="21"/>
          <w:szCs w:val="21"/>
        </w:rPr>
      </w:pPr>
      <w:r>
        <w:rPr>
          <w:rFonts w:hint="eastAsia" w:ascii="宋体"/>
          <w:color w:val="auto"/>
          <w:sz w:val="21"/>
          <w:szCs w:val="21"/>
        </w:rPr>
        <w:t>日</w:t>
      </w:r>
      <w:r>
        <w:rPr>
          <w:rFonts w:ascii="宋体"/>
          <w:color w:val="auto"/>
          <w:sz w:val="21"/>
          <w:szCs w:val="21"/>
        </w:rPr>
        <w:t xml:space="preserve">    </w:t>
      </w:r>
      <w:r>
        <w:rPr>
          <w:rFonts w:hint="eastAsia" w:ascii="宋体"/>
          <w:color w:val="auto"/>
          <w:sz w:val="21"/>
          <w:szCs w:val="21"/>
        </w:rPr>
        <w:t>期：</w:t>
      </w:r>
    </w:p>
    <w:p>
      <w:pPr>
        <w:pStyle w:val="3"/>
        <w:spacing w:line="480" w:lineRule="exact"/>
        <w:rPr>
          <w:color w:val="auto"/>
          <w:sz w:val="32"/>
          <w:szCs w:val="32"/>
        </w:rPr>
      </w:pPr>
      <w:bookmarkStart w:id="18" w:name="_Toc42951053"/>
      <w:r>
        <w:rPr>
          <w:color w:val="auto"/>
          <w:sz w:val="32"/>
          <w:szCs w:val="32"/>
        </w:rPr>
        <w:t>3</w:t>
      </w:r>
      <w:r>
        <w:rPr>
          <w:rFonts w:hint="eastAsia"/>
          <w:color w:val="auto"/>
          <w:sz w:val="32"/>
          <w:szCs w:val="32"/>
        </w:rPr>
        <w:t>．</w:t>
      </w:r>
      <w:bookmarkEnd w:id="18"/>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hint="eastAsia" w:ascii="新宋体" w:hAnsi="新宋体" w:eastAsia="新宋体"/>
          <w:color w:val="auto"/>
          <w:szCs w:val="21"/>
          <w:lang w:val="en-US" w:eastAsia="zh-CN"/>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u w:val="single"/>
          <w:lang w:val="en-US" w:eastAsia="zh-CN"/>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u w:val="single"/>
          <w:lang w:val="en-US" w:eastAsia="zh-CN"/>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hint="eastAsia" w:ascii="新宋体" w:hAnsi="新宋体" w:eastAsia="新宋体"/>
          <w:color w:val="auto"/>
          <w:lang w:eastAsia="zh-CN"/>
        </w:rPr>
        <w:t>：</w:t>
      </w: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lang w:eastAsia="zh-CN"/>
        </w:rPr>
        <w:t>响应供应商</w:t>
      </w:r>
      <w:r>
        <w:rPr>
          <w:rFonts w:hint="eastAsia" w:ascii="新宋体" w:hAnsi="新宋体" w:eastAsia="新宋体"/>
          <w:color w:val="auto"/>
        </w:rPr>
        <w:t>（公章）：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5"/>
        <w:spacing w:line="480" w:lineRule="exact"/>
        <w:jc w:val="center"/>
        <w:rPr>
          <w:rFonts w:hint="eastAsia"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mc:AlternateContent>
          <mc:Choice Requires="wps">
            <w:drawing>
              <wp:anchor distT="0" distB="0" distL="114300" distR="114300" simplePos="0" relativeHeight="251674624" behindDoc="0" locked="0" layoutInCell="1" allowOverlap="1">
                <wp:simplePos x="0" y="0"/>
                <wp:positionH relativeFrom="column">
                  <wp:posOffset>3216910</wp:posOffset>
                </wp:positionH>
                <wp:positionV relativeFrom="paragraph">
                  <wp:posOffset>3175</wp:posOffset>
                </wp:positionV>
                <wp:extent cx="2333625" cy="1584325"/>
                <wp:effectExtent l="4445" t="4445" r="5080" b="11430"/>
                <wp:wrapNone/>
                <wp:docPr id="46" name="流程图: 可选过程 4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53.3pt;margin-top:0.25pt;height:124.75pt;width:183.75pt;z-index:251674624;mso-width-relative:page;mso-height-relative:page;" fillcolor="#FFFFFF" filled="t" stroked="t" coordsize="21600,21600" o:gfxdata="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GgLTtYAAAAIAQAADwAAAAAAAAABACAAAAAiAAAAZHJzL2Rvd25yZXYueG1sUEsBAhQAFAAA&#10;AAgAh07iQN/+tykqAgAAUgQAAA4AAAAAAAAAAQAgAAAAJQ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ascii="宋体" w:hAnsi="宋体"/>
          <w:b/>
          <w:szCs w:val="21"/>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22225</wp:posOffset>
                </wp:positionV>
                <wp:extent cx="2333625" cy="1584325"/>
                <wp:effectExtent l="4445" t="4445" r="5080" b="11430"/>
                <wp:wrapNone/>
                <wp:docPr id="47" name="流程图: 可选过程 4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31.05pt;margin-top:1.75pt;height:124.75pt;width:183.75pt;z-index:251672576;mso-width-relative:page;mso-height-relative:page;" fillcolor="#FFFFFF" filled="t" stroked="t" coordsize="21600,21600" o:gfxdata="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ebj6zXAAAACAEAAA8AAAAAAAAAAQAgAAAAIgAAAGRycy9kb3ducmV2LnhtbFBLAQIUABQA&#10;AAAIAIdO4kCvPtX8KgIAAFIEAAAOAAAAAAAAAAEAIAAAACY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spacing w:line="360" w:lineRule="auto"/>
        <w:rPr>
          <w:rFonts w:ascii="宋体" w:hAnsi="宋体"/>
          <w:b/>
          <w:szCs w:val="21"/>
        </w:rPr>
      </w:pPr>
    </w:p>
    <w:p>
      <w:pPr>
        <w:pStyle w:val="15"/>
        <w:spacing w:line="480" w:lineRule="exact"/>
        <w:jc w:val="center"/>
        <w:rPr>
          <w:b/>
          <w:color w:val="auto"/>
          <w:sz w:val="32"/>
        </w:rPr>
      </w:pP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w:t>
      </w:r>
      <w:r>
        <w:rPr>
          <w:rFonts w:hint="eastAsia"/>
          <w:color w:val="auto"/>
          <w:lang w:eastAsia="zh-CN"/>
        </w:rPr>
        <w:t>响应供应商</w:t>
      </w:r>
      <w:r>
        <w:rPr>
          <w:rFonts w:hint="eastAsia"/>
          <w:color w:val="auto"/>
        </w:rPr>
        <w:t>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GDYX2021YB0005</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lang w:eastAsia="zh-CN"/>
        </w:rPr>
        <w:t>响应供应商</w:t>
      </w:r>
      <w:r>
        <w:rPr>
          <w:rFonts w:hint="eastAsia" w:ascii="宋体"/>
          <w:color w:val="auto"/>
        </w:rPr>
        <w:t>（公章）：</w:t>
      </w: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签字或盖章</w:t>
      </w:r>
      <w:r>
        <w:rPr>
          <w:rFonts w:hint="eastAsia" w:ascii="宋体"/>
          <w:color w:val="auto"/>
        </w:rPr>
        <w:t>）：</w:t>
      </w:r>
    </w:p>
    <w:p>
      <w:pPr>
        <w:tabs>
          <w:tab w:val="left" w:pos="3885"/>
        </w:tabs>
        <w:spacing w:line="480" w:lineRule="exact"/>
        <w:ind w:firstLine="4830" w:firstLineChars="2300"/>
        <w:rPr>
          <w:rFonts w:ascii="宋体"/>
          <w:color w:val="auto"/>
          <w:spacing w:val="20"/>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360" w:lineRule="auto"/>
        <w:ind w:firstLine="420"/>
        <w:rPr>
          <w:rFonts w:ascii="宋体" w:hAnsi="宋体"/>
          <w:szCs w:val="21"/>
          <w:u w:val="single"/>
        </w:rPr>
      </w:pPr>
    </w:p>
    <w:p>
      <w:pPr>
        <w:spacing w:line="360" w:lineRule="auto"/>
        <w:ind w:firstLine="420"/>
        <w:rPr>
          <w:rFonts w:ascii="宋体" w:hAnsi="宋体"/>
          <w:szCs w:val="21"/>
          <w:u w:val="single"/>
        </w:rPr>
      </w:pPr>
      <w:r>
        <w:rPr>
          <w:rFonts w:ascii="宋体" w:hAnsi="宋体"/>
          <w:b/>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3088005</wp:posOffset>
                </wp:positionH>
                <wp:positionV relativeFrom="paragraph">
                  <wp:posOffset>54610</wp:posOffset>
                </wp:positionV>
                <wp:extent cx="2333625" cy="1584325"/>
                <wp:effectExtent l="4445" t="4445" r="5080" b="11430"/>
                <wp:wrapNone/>
                <wp:docPr id="48" name="流程图: 可选过程 4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宋体"/>
                                <w:color w:val="auto"/>
                                <w:spacing w:val="20"/>
                              </w:rPr>
                              <w:t>被授权人</w:t>
                            </w:r>
                            <w:r>
                              <w:rPr>
                                <w:rFonts w:hint="eastAsia" w:hAnsi="宋体"/>
                                <w:szCs w:val="21"/>
                              </w:rPr>
                              <w:t>身份证复印件反面</w:t>
                            </w:r>
                          </w:p>
                        </w:txbxContent>
                      </wps:txbx>
                      <wps:bodyPr upright="1"/>
                    </wps:wsp>
                  </a:graphicData>
                </a:graphic>
              </wp:anchor>
            </w:drawing>
          </mc:Choice>
          <mc:Fallback>
            <w:pict>
              <v:shape id="_x0000_s1026" o:spid="_x0000_s1026" o:spt="176" type="#_x0000_t176" style="position:absolute;left:0pt;margin-left:243.15pt;margin-top:4.3pt;height:124.75pt;width:183.75pt;z-index:251677696;mso-width-relative:page;mso-height-relative:page;" fillcolor="#FFFFFF" filled="t" stroked="t" coordsize="21600,21600" o:gfxdata="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0W3/fXAAAACQEAAA8AAAAAAAAAAQAgAAAAIgAAAGRycy9kb3ducmV2LnhtbFBLAQIUABQA&#10;AAAIAIdO4kD5acmmKgIAAFIEAAAOAAAAAAAAAAEAIAAAACY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宋体"/>
                          <w:color w:val="auto"/>
                          <w:spacing w:val="20"/>
                        </w:rPr>
                        <w:t>被授权人</w:t>
                      </w:r>
                      <w:r>
                        <w:rPr>
                          <w:rFonts w:hint="eastAsia" w:hAnsi="宋体"/>
                          <w:szCs w:val="21"/>
                        </w:rPr>
                        <w:t>身份证复印件反面</w:t>
                      </w:r>
                    </w:p>
                  </w:txbxContent>
                </v:textbox>
              </v:shape>
            </w:pict>
          </mc:Fallback>
        </mc:AlternateContent>
      </w:r>
      <w:r>
        <w:rPr>
          <w:rFonts w:ascii="宋体" w:hAnsi="宋体"/>
          <w:szCs w:val="21"/>
          <w:u w:val="single"/>
        </w:rPr>
        <mc:AlternateContent>
          <mc:Choice Requires="wps">
            <w:drawing>
              <wp:anchor distT="0" distB="0" distL="114300" distR="114300" simplePos="0" relativeHeight="251675648" behindDoc="0" locked="0" layoutInCell="1" allowOverlap="1">
                <wp:simplePos x="0" y="0"/>
                <wp:positionH relativeFrom="column">
                  <wp:posOffset>342265</wp:posOffset>
                </wp:positionH>
                <wp:positionV relativeFrom="paragraph">
                  <wp:posOffset>54610</wp:posOffset>
                </wp:positionV>
                <wp:extent cx="2333625" cy="1584325"/>
                <wp:effectExtent l="4445" t="4445" r="5080" b="11430"/>
                <wp:wrapNone/>
                <wp:docPr id="49" name="流程图: 可选过程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宋体"/>
                                <w:color w:val="auto"/>
                                <w:spacing w:val="20"/>
                              </w:rPr>
                              <w:t>被授权人</w:t>
                            </w:r>
                            <w:r>
                              <w:rPr>
                                <w:rFonts w:hint="eastAsia" w:hAnsi="宋体"/>
                                <w:szCs w:val="21"/>
                              </w:rPr>
                              <w:t>身份证复印件正面</w:t>
                            </w:r>
                          </w:p>
                        </w:txbxContent>
                      </wps:txbx>
                      <wps:bodyPr upright="1"/>
                    </wps:wsp>
                  </a:graphicData>
                </a:graphic>
              </wp:anchor>
            </w:drawing>
          </mc:Choice>
          <mc:Fallback>
            <w:pict>
              <v:shape id="_x0000_s1026" o:spid="_x0000_s1026" o:spt="176" type="#_x0000_t176" style="position:absolute;left:0pt;margin-left:26.95pt;margin-top:4.3pt;height:124.75pt;width:183.75pt;z-index:251675648;mso-width-relative:page;mso-height-relative:page;" fillcolor="#FFFFFF" filled="t" stroked="t" coordsize="21600,21600" o:gfxdata="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Y7vO3XAAAACAEAAA8AAAAAAAAAAQAgAAAAIgAAAGRycy9kb3ducmV2LnhtbFBLAQIUABQA&#10;AAAIAIdO4kCJqatzKgIAAFIEAAAOAAAAAAAAAAEAIAAAACY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宋体"/>
                          <w:color w:val="auto"/>
                          <w:spacing w:val="20"/>
                        </w:rPr>
                        <w:t>被授权人</w:t>
                      </w:r>
                      <w:r>
                        <w:rPr>
                          <w:rFonts w:hint="eastAsia" w:hAnsi="宋体"/>
                          <w:szCs w:val="21"/>
                        </w:rPr>
                        <w:t>身份证复印件正面</w:t>
                      </w:r>
                    </w:p>
                  </w:txbxContent>
                </v:textbox>
              </v:shape>
            </w:pict>
          </mc:Fallback>
        </mc:AlternateContent>
      </w:r>
    </w:p>
    <w:p>
      <w:pPr>
        <w:widowControl/>
        <w:spacing w:line="360" w:lineRule="auto"/>
        <w:rPr>
          <w:rFonts w:ascii="宋体" w:hAnsi="宋体"/>
          <w:b/>
          <w:kern w:val="0"/>
          <w:sz w:val="28"/>
          <w:szCs w:val="28"/>
        </w:rPr>
      </w:pPr>
    </w:p>
    <w:p>
      <w:pPr>
        <w:spacing w:line="480" w:lineRule="exact"/>
        <w:rPr>
          <w:rFonts w:ascii="Arial" w:hAnsi="Arial"/>
          <w:b/>
          <w:color w:val="auto"/>
          <w:sz w:val="24"/>
        </w:rPr>
      </w:pPr>
      <w:r>
        <w:rPr>
          <w:rFonts w:ascii="宋体" w:hAnsi="宋体"/>
          <w:b/>
          <w:szCs w:val="21"/>
        </w:rPr>
        <w:br w:type="page"/>
      </w: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关于贵公司发布</w:t>
      </w:r>
      <w:r>
        <w:rPr>
          <w:rFonts w:hint="eastAsia" w:ascii="宋体" w:hAnsi="宋体" w:eastAsia="宋体"/>
          <w:color w:val="000000"/>
          <w:sz w:val="21"/>
          <w:u w:val="single"/>
          <w:lang w:val="en-US" w:eastAsia="zh-CN"/>
        </w:rPr>
        <w:t xml:space="preserve">     </w:t>
      </w:r>
      <w:r>
        <w:rPr>
          <w:color w:val="auto"/>
          <w:u w:val="single"/>
        </w:rPr>
        <w:t xml:space="preserve"> </w:t>
      </w:r>
      <w:r>
        <w:rPr>
          <w:rFonts w:hint="eastAsia"/>
          <w:color w:val="auto"/>
          <w:u w:val="single"/>
        </w:rPr>
        <w:t>（项目名称）</w:t>
      </w:r>
      <w:r>
        <w:rPr>
          <w:rFonts w:hint="eastAsia" w:ascii="宋体" w:hAnsi="宋体" w:eastAsia="宋体"/>
          <w:color w:val="000000"/>
          <w:sz w:val="21"/>
          <w:u w:val="single"/>
          <w:lang w:val="en-US" w:eastAsia="zh-CN"/>
        </w:rPr>
        <w:t xml:space="preserve">                 </w:t>
      </w:r>
      <w:r>
        <w:rPr>
          <w:color w:val="auto"/>
        </w:rPr>
        <w:t>[</w:t>
      </w:r>
      <w:r>
        <w:rPr>
          <w:rFonts w:hint="eastAsia"/>
          <w:color w:val="auto"/>
        </w:rPr>
        <w:t>编号为：</w:t>
      </w:r>
      <w:r>
        <w:rPr>
          <w:rFonts w:hint="eastAsia"/>
          <w:color w:val="auto"/>
          <w:u w:val="single"/>
          <w:lang w:eastAsia="zh-CN"/>
        </w:rPr>
        <w:t>GDYX2021YB0005</w:t>
      </w:r>
      <w:r>
        <w:rPr>
          <w:color w:val="auto"/>
        </w:rPr>
        <w:t>]</w:t>
      </w:r>
      <w:r>
        <w:rPr>
          <w:rFonts w:hint="eastAsia" w:ascii="宋体" w:hAnsi="宋体" w:eastAsia="宋体"/>
          <w:color w:val="000000"/>
          <w:sz w:val="21"/>
        </w:rPr>
        <w:t xml:space="preserve">的磋商公告，本公司（企业）愿意参加磋商，并声明：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一、本公司（企业）具备《中华人民共和国政府采购法》第二十二条资格条件：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（一）具有独立承担民事责任的能力；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（二）具有良好的商业信誉和健全的财务会计制度；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（三）具有履行合同所必需的设备和专业技术能力；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（四）有依法缴纳税收和社会保障资金的良好记录；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（五）参加政府采购活动前三年内，在经营活动中没有重大违法记录； </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 xml:space="preserve">（六）法律、行政法规规定的其他条件。 </w:t>
      </w:r>
    </w:p>
    <w:p>
      <w:pPr>
        <w:spacing w:beforeLines="0" w:after="166"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二、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pPr>
        <w:spacing w:beforeLines="0" w:afterLines="0" w:line="360" w:lineRule="auto"/>
        <w:ind w:left="432" w:leftChars="0" w:hanging="432" w:hangingChars="206"/>
        <w:jc w:val="left"/>
        <w:rPr>
          <w:rFonts w:hint="eastAsia" w:ascii="宋体" w:hAnsi="宋体" w:eastAsia="宋体"/>
          <w:color w:val="000000"/>
          <w:sz w:val="21"/>
        </w:rPr>
      </w:pPr>
      <w:r>
        <w:rPr>
          <w:rFonts w:hint="eastAsia" w:ascii="宋体" w:hAnsi="宋体" w:eastAsia="宋体"/>
          <w:color w:val="000000"/>
          <w:sz w:val="21"/>
        </w:rPr>
        <w:t>三、我方承诺单位负责人为同一人或者存在直接控股、管理关系的不同供应商，不</w:t>
      </w:r>
      <w:r>
        <w:rPr>
          <w:rFonts w:hint="eastAsia" w:ascii="宋体" w:hAnsi="宋体"/>
          <w:color w:val="000000"/>
          <w:sz w:val="21"/>
          <w:lang w:eastAsia="zh-CN"/>
        </w:rPr>
        <w:t>再</w:t>
      </w:r>
      <w:r>
        <w:rPr>
          <w:rFonts w:hint="eastAsia" w:ascii="宋体" w:hAnsi="宋体" w:eastAsia="宋体"/>
          <w:color w:val="000000"/>
          <w:sz w:val="21"/>
        </w:rPr>
        <w:t>参加同一合同项下的政府采购活动。</w:t>
      </w:r>
    </w:p>
    <w:p>
      <w:pPr>
        <w:spacing w:beforeLines="0" w:afterLines="0" w:line="360" w:lineRule="auto"/>
        <w:ind w:left="10" w:leftChars="0" w:hanging="10" w:hangingChars="5"/>
        <w:jc w:val="left"/>
        <w:rPr>
          <w:rFonts w:hint="eastAsia" w:ascii="宋体" w:hAnsi="宋体" w:eastAsia="宋体"/>
          <w:color w:val="000000"/>
          <w:sz w:val="21"/>
        </w:rPr>
      </w:pPr>
    </w:p>
    <w:p>
      <w:pPr>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 xml:space="preserve">以上内容如有虚假或与事实不符的，可将我方做无效投标处理，我方愿意承担相应的法律责任。 </w:t>
      </w:r>
    </w:p>
    <w:p>
      <w:pPr>
        <w:spacing w:beforeLines="0" w:afterLines="0" w:line="360" w:lineRule="auto"/>
        <w:ind w:left="10" w:leftChars="0" w:hanging="10" w:hangingChars="5"/>
        <w:jc w:val="left"/>
        <w:rPr>
          <w:rFonts w:hint="eastAsia" w:ascii="宋体" w:hAnsi="宋体" w:eastAsia="宋体"/>
          <w:color w:val="000000"/>
          <w:sz w:val="21"/>
        </w:rPr>
      </w:pPr>
      <w:r>
        <w:rPr>
          <w:rFonts w:hint="eastAsia" w:ascii="宋体" w:hAnsi="宋体" w:eastAsia="宋体"/>
          <w:color w:val="000000"/>
          <w:sz w:val="21"/>
        </w:rPr>
        <w:t xml:space="preserve">在本次招标采购活动中，如有违法、违规、弄虚作假行为，所造成的损失、不良后果及法律责任，一律由我公司（企业）承担。 </w:t>
      </w:r>
    </w:p>
    <w:p>
      <w:pPr>
        <w:spacing w:beforeLines="0" w:afterLines="0" w:line="360" w:lineRule="auto"/>
        <w:ind w:left="634" w:leftChars="0" w:hanging="634" w:hangingChars="302"/>
        <w:jc w:val="left"/>
        <w:rPr>
          <w:rFonts w:hint="eastAsia" w:ascii="宋体" w:hAnsi="宋体" w:eastAsia="宋体"/>
          <w:color w:val="000000"/>
          <w:sz w:val="21"/>
        </w:rPr>
      </w:pPr>
      <w:r>
        <w:rPr>
          <w:rFonts w:hint="eastAsia" w:ascii="宋体" w:hAnsi="宋体" w:eastAsia="宋体"/>
          <w:color w:val="000000"/>
          <w:sz w:val="21"/>
        </w:rPr>
        <w:t xml:space="preserve">特此声明！ </w:t>
      </w:r>
    </w:p>
    <w:p>
      <w:pPr>
        <w:spacing w:beforeLines="0" w:afterLines="0" w:line="360" w:lineRule="auto"/>
        <w:jc w:val="left"/>
        <w:rPr>
          <w:rFonts w:hint="eastAsia" w:ascii="宋体" w:hAnsi="宋体" w:eastAsia="宋体"/>
          <w:color w:val="000000"/>
          <w:sz w:val="21"/>
        </w:rPr>
      </w:pPr>
      <w:r>
        <w:rPr>
          <w:rFonts w:hint="eastAsia" w:ascii="宋体" w:hAnsi="宋体" w:eastAsia="宋体"/>
          <w:color w:val="000000"/>
          <w:sz w:val="21"/>
        </w:rPr>
        <w:t xml:space="preserve">备注：1.本声明函必须提供且内容不得擅自删改，否则视为无效响应。 </w:t>
      </w:r>
    </w:p>
    <w:p>
      <w:pPr>
        <w:spacing w:beforeLines="0" w:afterLines="0" w:line="360" w:lineRule="auto"/>
        <w:jc w:val="left"/>
        <w:rPr>
          <w:rFonts w:hint="eastAsia" w:ascii="宋体" w:hAnsi="宋体" w:eastAsia="宋体"/>
          <w:color w:val="000000"/>
          <w:sz w:val="21"/>
        </w:rPr>
      </w:pPr>
    </w:p>
    <w:p>
      <w:pPr>
        <w:spacing w:beforeLines="0" w:afterLines="0" w:line="360" w:lineRule="auto"/>
        <w:jc w:val="left"/>
        <w:rPr>
          <w:rFonts w:hint="eastAsia" w:ascii="宋体" w:hAnsi="宋体" w:eastAsia="宋体"/>
          <w:color w:val="000000"/>
          <w:sz w:val="21"/>
        </w:rPr>
      </w:pPr>
    </w:p>
    <w:p>
      <w:pPr>
        <w:spacing w:beforeLines="0" w:afterLines="0" w:line="360" w:lineRule="auto"/>
        <w:jc w:val="left"/>
        <w:rPr>
          <w:rFonts w:hint="eastAsia" w:ascii="宋体" w:hAnsi="宋体" w:eastAsia="宋体"/>
          <w:color w:val="000000"/>
          <w:sz w:val="21"/>
        </w:rPr>
      </w:pPr>
      <w:r>
        <w:rPr>
          <w:rFonts w:hint="eastAsia" w:ascii="宋体" w:hAnsi="宋体" w:eastAsia="宋体"/>
          <w:color w:val="000000"/>
          <w:sz w:val="21"/>
        </w:rPr>
        <w:t xml:space="preserve">响应供应商名称（单位盖公章）： </w:t>
      </w:r>
    </w:p>
    <w:p>
      <w:pPr>
        <w:spacing w:beforeLines="0" w:afterLines="0" w:line="360" w:lineRule="auto"/>
        <w:jc w:val="left"/>
        <w:rPr>
          <w:rFonts w:hint="eastAsia" w:ascii="宋体" w:hAnsi="宋体" w:eastAsia="宋体"/>
          <w:color w:val="000000"/>
          <w:sz w:val="21"/>
        </w:rPr>
      </w:pPr>
      <w:r>
        <w:rPr>
          <w:rFonts w:hint="eastAsia" w:ascii="宋体" w:hAnsi="宋体" w:eastAsia="宋体"/>
          <w:color w:val="000000"/>
          <w:sz w:val="21"/>
        </w:rPr>
        <w:t xml:space="preserve">单位地址： </w:t>
      </w:r>
    </w:p>
    <w:p>
      <w:pPr>
        <w:spacing w:beforeLines="0" w:afterLines="0" w:line="360" w:lineRule="auto"/>
        <w:jc w:val="left"/>
        <w:rPr>
          <w:rFonts w:hint="eastAsia" w:ascii="宋体" w:hAnsi="宋体" w:eastAsia="宋体"/>
          <w:color w:val="000000"/>
          <w:sz w:val="21"/>
        </w:rPr>
      </w:pPr>
      <w:r>
        <w:rPr>
          <w:rFonts w:hint="eastAsia" w:ascii="宋体" w:hAnsi="宋体" w:eastAsia="宋体"/>
          <w:color w:val="000000"/>
          <w:sz w:val="21"/>
        </w:rPr>
        <w:t xml:space="preserve">法定代表人或响应供应商授权代表（签署本人姓名或印盖本人姓名章）： </w:t>
      </w:r>
    </w:p>
    <w:p>
      <w:pPr>
        <w:pStyle w:val="15"/>
        <w:spacing w:line="360" w:lineRule="auto"/>
        <w:rPr>
          <w:color w:val="auto"/>
        </w:rPr>
        <w:sectPr>
          <w:headerReference r:id="rId15" w:type="default"/>
          <w:footerReference r:id="rId16" w:type="default"/>
          <w:pgSz w:w="11906" w:h="16838"/>
          <w:pgMar w:top="1440" w:right="1418" w:bottom="1440" w:left="1418" w:header="851" w:footer="851" w:gutter="0"/>
          <w:pgNumType w:fmt="decimal"/>
          <w:cols w:space="720" w:num="1"/>
          <w:docGrid w:linePitch="312" w:charSpace="0"/>
        </w:sectPr>
      </w:pPr>
      <w:r>
        <w:rPr>
          <w:rFonts w:hint="eastAsia" w:ascii="宋体" w:hAnsi="宋体" w:eastAsia="宋体"/>
          <w:color w:val="000000"/>
          <w:sz w:val="21"/>
        </w:rPr>
        <w:t>日期：2020年 月</w:t>
      </w:r>
      <w:r>
        <w:rPr>
          <w:rFonts w:hint="eastAsia" w:hAnsi="宋体"/>
          <w:color w:val="000000"/>
          <w:sz w:val="21"/>
          <w:lang w:val="en-US" w:eastAsia="zh-CN"/>
        </w:rPr>
        <w:t xml:space="preserve"> </w:t>
      </w:r>
      <w:r>
        <w:rPr>
          <w:rFonts w:hint="eastAsia" w:ascii="宋体" w:hAnsi="宋体" w:eastAsia="宋体"/>
          <w:color w:val="000000"/>
          <w:sz w:val="21"/>
        </w:rPr>
        <w:t xml:space="preserve"> 日 </w:t>
      </w: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720" w:lineRule="auto"/>
        <w:jc w:val="center"/>
        <w:rPr>
          <w:rFonts w:hint="eastAsia" w:ascii="宋体" w:hAnsi="宋体" w:eastAsia="宋体" w:cs="宋体"/>
          <w:i w:val="0"/>
          <w:iCs w:val="0"/>
          <w:color w:val="000000"/>
          <w:spacing w:val="0"/>
          <w:w w:val="100"/>
          <w:position w:val="0"/>
          <w:sz w:val="24"/>
          <w:szCs w:val="24"/>
        </w:rPr>
      </w:pPr>
      <w:bookmarkStart w:id="19" w:name="_Toc42951054"/>
      <w:r>
        <w:rPr>
          <w:rFonts w:hint="eastAsia" w:ascii="宋体" w:hAnsi="宋体" w:eastAsia="宋体" w:cs="宋体"/>
          <w:i w:val="0"/>
          <w:iCs w:val="0"/>
          <w:color w:val="000000"/>
          <w:spacing w:val="0"/>
          <w:w w:val="100"/>
          <w:position w:val="0"/>
          <w:sz w:val="32"/>
          <w:szCs w:val="32"/>
        </w:rPr>
        <w:t>中小企业声明函（工程、服务）</w:t>
      </w:r>
    </w:p>
    <w:p>
      <w:pPr>
        <w:spacing w:line="480" w:lineRule="auto"/>
        <w:ind w:left="0" w:leftChars="0" w:firstLine="576" w:firstLineChars="240"/>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本公司（联合体）郑重声明，根据《政府釆购促进中小企业发展管理办法》（财库（2020）46号）的规定，本公司（联合体）参加</w:t>
      </w:r>
      <w:r>
        <w:rPr>
          <w:rFonts w:hint="eastAsia" w:ascii="宋体" w:hAnsi="宋体" w:eastAsia="宋体" w:cs="宋体"/>
          <w:i w:val="0"/>
          <w:iCs w:val="0"/>
          <w:color w:val="000000"/>
          <w:spacing w:val="0"/>
          <w:w w:val="100"/>
          <w:position w:val="0"/>
          <w:sz w:val="24"/>
          <w:szCs w:val="24"/>
          <w:u w:val="single"/>
        </w:rPr>
        <w:t>（単位名称）</w:t>
      </w:r>
      <w:r>
        <w:rPr>
          <w:rFonts w:hint="eastAsia" w:ascii="宋体" w:hAnsi="宋体" w:eastAsia="宋体" w:cs="宋体"/>
          <w:i w:val="0"/>
          <w:iCs w:val="0"/>
          <w:color w:val="000000"/>
          <w:spacing w:val="0"/>
          <w:w w:val="100"/>
          <w:position w:val="0"/>
          <w:sz w:val="24"/>
          <w:szCs w:val="24"/>
        </w:rPr>
        <w:t>的</w:t>
      </w:r>
      <w:r>
        <w:rPr>
          <w:rFonts w:hint="eastAsia" w:ascii="宋体" w:hAnsi="宋体" w:eastAsia="宋体" w:cs="宋体"/>
          <w:i w:val="0"/>
          <w:iCs w:val="0"/>
          <w:color w:val="000000"/>
          <w:spacing w:val="0"/>
          <w:w w:val="100"/>
          <w:position w:val="0"/>
          <w:sz w:val="24"/>
          <w:szCs w:val="24"/>
          <w:u w:val="single"/>
        </w:rPr>
        <w:t>（项目名称）</w:t>
      </w:r>
      <w:r>
        <w:rPr>
          <w:rFonts w:hint="eastAsia" w:ascii="宋体" w:hAnsi="宋体" w:eastAsia="宋体" w:cs="宋体"/>
          <w:i w:val="0"/>
          <w:iCs w:val="0"/>
          <w:color w:val="000000"/>
          <w:spacing w:val="0"/>
          <w:w w:val="100"/>
          <w:position w:val="0"/>
          <w:sz w:val="24"/>
          <w:szCs w:val="24"/>
        </w:rPr>
        <w:t>釆购活动</w:t>
      </w:r>
      <w:r>
        <w:rPr>
          <w:rFonts w:hint="eastAsia" w:ascii="宋体" w:hAnsi="宋体" w:eastAsia="宋体" w:cs="宋体"/>
          <w:i w:val="0"/>
          <w:iCs w:val="0"/>
          <w:color w:val="000000"/>
          <w:spacing w:val="0"/>
          <w:w w:val="100"/>
          <w:position w:val="0"/>
          <w:sz w:val="24"/>
          <w:szCs w:val="24"/>
          <w:lang w:eastAsia="zh-CN"/>
        </w:rPr>
        <w:t>，</w:t>
      </w:r>
      <w:r>
        <w:rPr>
          <w:rFonts w:hint="eastAsia" w:ascii="宋体" w:hAnsi="宋体" w:eastAsia="宋体" w:cs="宋体"/>
          <w:i w:val="0"/>
          <w:iCs w:val="0"/>
          <w:color w:val="000000"/>
          <w:spacing w:val="0"/>
          <w:w w:val="100"/>
          <w:position w:val="0"/>
          <w:sz w:val="24"/>
          <w:szCs w:val="24"/>
        </w:rPr>
        <w:t>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left="0" w:leftChars="0" w:firstLine="576" w:firstLineChars="240"/>
        <w:rPr>
          <w:rFonts w:hint="eastAsia" w:ascii="宋体" w:hAnsi="宋体" w:eastAsia="宋体" w:cs="宋体"/>
          <w:i w:val="0"/>
          <w:iCs w:val="0"/>
          <w:color w:val="000000"/>
          <w:spacing w:val="0"/>
          <w:w w:val="100"/>
          <w:position w:val="0"/>
          <w:sz w:val="24"/>
          <w:szCs w:val="24"/>
          <w:lang w:eastAsia="zh-CN"/>
        </w:rPr>
      </w:pPr>
      <w:r>
        <w:rPr>
          <w:rFonts w:hint="eastAsia" w:ascii="宋体" w:hAnsi="宋体" w:eastAsia="宋体" w:cs="宋体"/>
          <w:i w:val="0"/>
          <w:iCs w:val="0"/>
          <w:color w:val="000000"/>
          <w:spacing w:val="0"/>
          <w:w w:val="100"/>
          <w:position w:val="0"/>
          <w:sz w:val="24"/>
          <w:szCs w:val="24"/>
        </w:rPr>
        <w:t>1</w:t>
      </w:r>
      <w:r>
        <w:rPr>
          <w:rFonts w:hint="eastAsia" w:ascii="宋体" w:hAnsi="宋体" w:eastAsia="宋体" w:cs="宋体"/>
          <w:i w:val="0"/>
          <w:iCs w:val="0"/>
          <w:color w:val="000000"/>
          <w:spacing w:val="0"/>
          <w:w w:val="100"/>
          <w:position w:val="0"/>
          <w:sz w:val="24"/>
          <w:szCs w:val="24"/>
          <w:lang w:eastAsia="zh-CN"/>
        </w:rPr>
        <w:t>、</w:t>
      </w:r>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（釆购文件中明确的所属行业义承建（承接）企业为（企业名称）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人，营业收入为</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万元</w:t>
      </w:r>
      <w:r>
        <w:rPr>
          <w:rFonts w:hint="eastAsia" w:ascii="宋体" w:hAnsi="宋体" w:eastAsia="宋体" w:cs="宋体"/>
          <w:i w:val="0"/>
          <w:iCs w:val="0"/>
          <w:color w:val="000000"/>
          <w:spacing w:val="0"/>
          <w:w w:val="100"/>
          <w:position w:val="0"/>
          <w:sz w:val="32"/>
          <w:szCs w:val="32"/>
          <w:vertAlign w:val="superscript"/>
          <w:lang w:val="en-US" w:eastAsia="zh-CN"/>
        </w:rPr>
        <w:t>1</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（中型企业、小型企业、微型企业）</w:t>
      </w:r>
      <w:r>
        <w:rPr>
          <w:rFonts w:hint="eastAsia" w:ascii="宋体" w:hAnsi="宋体" w:eastAsia="宋体" w:cs="宋体"/>
          <w:i w:val="0"/>
          <w:iCs w:val="0"/>
          <w:color w:val="000000"/>
          <w:spacing w:val="0"/>
          <w:w w:val="100"/>
          <w:position w:val="0"/>
          <w:sz w:val="24"/>
          <w:szCs w:val="24"/>
          <w:lang w:eastAsia="zh-CN"/>
        </w:rPr>
        <w:t>；</w:t>
      </w:r>
    </w:p>
    <w:p>
      <w:pPr>
        <w:spacing w:line="480" w:lineRule="auto"/>
        <w:ind w:left="0" w:leftChars="0" w:firstLine="576" w:firstLineChars="240"/>
        <w:rPr>
          <w:rFonts w:hint="eastAsia" w:ascii="宋体" w:hAnsi="宋体" w:eastAsia="宋体" w:cs="宋体"/>
          <w:i w:val="0"/>
          <w:iCs w:val="0"/>
          <w:color w:val="000000"/>
          <w:spacing w:val="0"/>
          <w:w w:val="100"/>
          <w:position w:val="0"/>
          <w:sz w:val="24"/>
          <w:szCs w:val="24"/>
          <w:lang w:eastAsia="zh-CN"/>
        </w:rPr>
      </w:pPr>
      <w:r>
        <w:rPr>
          <w:rFonts w:hint="eastAsia" w:ascii="宋体" w:hAnsi="宋体" w:eastAsia="宋体" w:cs="宋体"/>
          <w:i w:val="0"/>
          <w:iCs w:val="0"/>
          <w:color w:val="000000"/>
          <w:spacing w:val="0"/>
          <w:w w:val="100"/>
          <w:position w:val="0"/>
          <w:sz w:val="24"/>
          <w:szCs w:val="24"/>
        </w:rPr>
        <w:t>2</w:t>
      </w:r>
      <w:r>
        <w:rPr>
          <w:rFonts w:hint="eastAsia" w:ascii="宋体" w:hAnsi="宋体" w:eastAsia="宋体" w:cs="宋体"/>
          <w:i w:val="0"/>
          <w:iCs w:val="0"/>
          <w:color w:val="000000"/>
          <w:spacing w:val="0"/>
          <w:w w:val="100"/>
          <w:position w:val="0"/>
          <w:sz w:val="24"/>
          <w:szCs w:val="24"/>
          <w:lang w:eastAsia="zh-CN"/>
        </w:rPr>
        <w:t>、</w:t>
      </w:r>
      <w:r>
        <w:rPr>
          <w:rFonts w:hint="eastAsia" w:ascii="宋体" w:hAnsi="宋体" w:eastAsia="宋体" w:cs="宋体"/>
          <w:i w:val="0"/>
          <w:iCs w:val="0"/>
          <w:color w:val="000000"/>
          <w:spacing w:val="0"/>
          <w:w w:val="100"/>
          <w:position w:val="0"/>
          <w:sz w:val="24"/>
          <w:szCs w:val="24"/>
          <w:u w:val="single"/>
        </w:rPr>
        <w:t>（标的名称）</w:t>
      </w:r>
      <w:r>
        <w:rPr>
          <w:rFonts w:hint="eastAsia" w:ascii="宋体" w:hAnsi="宋体" w:eastAsia="宋体" w:cs="宋体"/>
          <w:i w:val="0"/>
          <w:iCs w:val="0"/>
          <w:color w:val="000000"/>
          <w:spacing w:val="0"/>
          <w:w w:val="100"/>
          <w:position w:val="0"/>
          <w:sz w:val="24"/>
          <w:szCs w:val="24"/>
        </w:rPr>
        <w:t>,属于</w:t>
      </w:r>
      <w:r>
        <w:rPr>
          <w:rFonts w:hint="eastAsia" w:ascii="宋体" w:hAnsi="宋体" w:eastAsia="宋体" w:cs="宋体"/>
          <w:i w:val="0"/>
          <w:iCs w:val="0"/>
          <w:color w:val="000000"/>
          <w:spacing w:val="0"/>
          <w:w w:val="100"/>
          <w:position w:val="0"/>
          <w:sz w:val="24"/>
          <w:szCs w:val="24"/>
          <w:u w:val="single"/>
        </w:rPr>
        <w:t>（釆购文件中明确的所属行业义承建（承接）企业为（企业名称）</w:t>
      </w:r>
      <w:r>
        <w:rPr>
          <w:rFonts w:hint="eastAsia" w:ascii="宋体" w:hAnsi="宋体" w:eastAsia="宋体" w:cs="宋体"/>
          <w:i w:val="0"/>
          <w:iCs w:val="0"/>
          <w:color w:val="000000"/>
          <w:spacing w:val="0"/>
          <w:w w:val="100"/>
          <w:position w:val="0"/>
          <w:sz w:val="24"/>
          <w:szCs w:val="24"/>
        </w:rPr>
        <w:t>,从业人员</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人，营业收入为</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万元，资产总额为</w:t>
      </w:r>
      <w:r>
        <w:rPr>
          <w:rFonts w:hint="eastAsia" w:ascii="宋体" w:hAnsi="宋体" w:eastAsia="宋体" w:cs="宋体"/>
          <w:i w:val="0"/>
          <w:iCs w:val="0"/>
          <w:color w:val="000000"/>
          <w:spacing w:val="0"/>
          <w:w w:val="100"/>
          <w:position w:val="0"/>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rPr>
        <w:t>万元，属于</w:t>
      </w:r>
      <w:r>
        <w:rPr>
          <w:rFonts w:hint="eastAsia" w:ascii="宋体" w:hAnsi="宋体" w:eastAsia="宋体" w:cs="宋体"/>
          <w:i w:val="0"/>
          <w:iCs w:val="0"/>
          <w:color w:val="000000"/>
          <w:spacing w:val="0"/>
          <w:w w:val="100"/>
          <w:position w:val="0"/>
          <w:sz w:val="24"/>
          <w:szCs w:val="24"/>
          <w:u w:val="single"/>
        </w:rPr>
        <w:t>（中型企业、小型企业、微型企业</w:t>
      </w:r>
      <w:r>
        <w:rPr>
          <w:rFonts w:hint="eastAsia" w:ascii="宋体" w:hAnsi="宋体" w:eastAsia="宋体" w:cs="宋体"/>
          <w:i w:val="0"/>
          <w:iCs w:val="0"/>
          <w:color w:val="000000"/>
          <w:spacing w:val="0"/>
          <w:w w:val="100"/>
          <w:position w:val="0"/>
          <w:sz w:val="24"/>
          <w:szCs w:val="24"/>
          <w:u w:val="single"/>
          <w:lang w:eastAsia="zh-CN"/>
        </w:rPr>
        <w:t>）</w:t>
      </w:r>
      <w:r>
        <w:rPr>
          <w:rFonts w:hint="eastAsia" w:ascii="宋体" w:hAnsi="宋体" w:eastAsia="宋体" w:cs="宋体"/>
          <w:i w:val="0"/>
          <w:iCs w:val="0"/>
          <w:color w:val="000000"/>
          <w:spacing w:val="0"/>
          <w:w w:val="100"/>
          <w:position w:val="0"/>
          <w:sz w:val="24"/>
          <w:szCs w:val="24"/>
          <w:lang w:eastAsia="zh-CN"/>
        </w:rPr>
        <w:t>；</w:t>
      </w:r>
    </w:p>
    <w:p>
      <w:pPr>
        <w:pStyle w:val="94"/>
        <w:keepNext w:val="0"/>
        <w:keepLines w:val="0"/>
        <w:widowControl w:val="0"/>
        <w:shd w:val="clear" w:color="auto" w:fill="auto"/>
        <w:bidi w:val="0"/>
        <w:spacing w:before="0" w:after="0" w:line="480" w:lineRule="auto"/>
        <w:ind w:left="0" w:right="0" w:firstLine="500"/>
        <w:jc w:val="both"/>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ab/>
      </w:r>
      <w:r>
        <w:rPr>
          <w:rFonts w:hint="eastAsia" w:ascii="宋体" w:hAnsi="宋体" w:eastAsia="宋体" w:cs="宋体"/>
          <w:i w:val="0"/>
          <w:iCs w:val="0"/>
          <w:color w:val="000000"/>
          <w:spacing w:val="0"/>
          <w:w w:val="100"/>
          <w:position w:val="0"/>
          <w:sz w:val="24"/>
          <w:szCs w:val="24"/>
        </w:rPr>
        <w:t>……</w:t>
      </w:r>
    </w:p>
    <w:p>
      <w:pPr>
        <w:spacing w:line="480" w:lineRule="auto"/>
        <w:ind w:left="0" w:leftChars="0" w:firstLine="576" w:firstLineChars="240"/>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以上企业，不属于大企业的分支机构，不存在控股股东为大企业的情形，也不存在与大企业的负责人为同一人的情形。</w:t>
      </w:r>
    </w:p>
    <w:p>
      <w:pPr>
        <w:pStyle w:val="94"/>
        <w:keepNext w:val="0"/>
        <w:keepLines w:val="0"/>
        <w:widowControl w:val="0"/>
        <w:shd w:val="clear" w:color="auto" w:fill="auto"/>
        <w:bidi w:val="0"/>
        <w:spacing w:before="0" w:after="0" w:line="480" w:lineRule="auto"/>
        <w:ind w:left="0" w:right="0" w:firstLine="500"/>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本企业对上述声明内容的真实性负责。如有虚假，将依法承担相应责任。</w:t>
      </w:r>
    </w:p>
    <w:p>
      <w:pPr>
        <w:pStyle w:val="94"/>
        <w:keepNext w:val="0"/>
        <w:keepLines w:val="0"/>
        <w:widowControl w:val="0"/>
        <w:shd w:val="clear" w:color="auto" w:fill="auto"/>
        <w:bidi w:val="0"/>
        <w:spacing w:before="0" w:after="0" w:line="480" w:lineRule="auto"/>
        <w:ind w:left="2396" w:leftChars="1141" w:right="0" w:firstLine="1099" w:firstLineChars="458"/>
        <w:jc w:val="both"/>
        <w:rPr>
          <w:rFonts w:hint="eastAsia" w:ascii="宋体" w:hAnsi="宋体" w:eastAsia="宋体" w:cs="宋体"/>
          <w:i w:val="0"/>
          <w:iCs w:val="0"/>
          <w:color w:val="000000"/>
          <w:spacing w:val="0"/>
          <w:w w:val="100"/>
          <w:position w:val="0"/>
          <w:sz w:val="24"/>
          <w:szCs w:val="24"/>
        </w:rPr>
      </w:pPr>
    </w:p>
    <w:p>
      <w:pPr>
        <w:pStyle w:val="94"/>
        <w:keepNext w:val="0"/>
        <w:keepLines w:val="0"/>
        <w:widowControl w:val="0"/>
        <w:shd w:val="clear" w:color="auto" w:fill="auto"/>
        <w:bidi w:val="0"/>
        <w:spacing w:before="0" w:after="0" w:line="480" w:lineRule="auto"/>
        <w:ind w:left="2396" w:leftChars="1141" w:right="0" w:firstLine="1099" w:firstLineChars="458"/>
        <w:jc w:val="both"/>
        <w:rPr>
          <w:rFonts w:hint="eastAsia" w:ascii="宋体" w:hAnsi="宋体" w:eastAsia="宋体" w:cs="宋体"/>
          <w:i w:val="0"/>
          <w:iCs w:val="0"/>
          <w:sz w:val="24"/>
          <w:szCs w:val="24"/>
        </w:rPr>
      </w:pPr>
      <w:r>
        <w:rPr>
          <w:rFonts w:hint="eastAsia" w:ascii="宋体" w:hAnsi="宋体" w:eastAsia="宋体" w:cs="宋体"/>
          <w:i w:val="0"/>
          <w:iCs w:val="0"/>
          <w:color w:val="000000"/>
          <w:spacing w:val="0"/>
          <w:w w:val="100"/>
          <w:position w:val="0"/>
          <w:sz w:val="24"/>
          <w:szCs w:val="24"/>
        </w:rPr>
        <w:t>企业名称（盖章）：</w:t>
      </w:r>
    </w:p>
    <w:p>
      <w:pPr>
        <w:spacing w:line="480" w:lineRule="auto"/>
        <w:ind w:left="2396" w:leftChars="1141" w:firstLine="1099" w:firstLineChars="458"/>
        <w:rPr>
          <w:rFonts w:hint="eastAsia" w:ascii="宋体" w:hAnsi="宋体" w:eastAsia="宋体" w:cs="宋体"/>
          <w:i w:val="0"/>
          <w:iCs w:val="0"/>
          <w:color w:val="000000"/>
          <w:spacing w:val="0"/>
          <w:w w:val="100"/>
          <w:position w:val="0"/>
          <w:sz w:val="24"/>
          <w:szCs w:val="24"/>
        </w:rPr>
      </w:pPr>
      <w:r>
        <w:rPr>
          <w:rFonts w:hint="eastAsia" w:ascii="宋体" w:hAnsi="宋体" w:eastAsia="宋体" w:cs="宋体"/>
          <w:i w:val="0"/>
          <w:iCs w:val="0"/>
          <w:color w:val="000000"/>
          <w:spacing w:val="0"/>
          <w:w w:val="100"/>
          <w:position w:val="0"/>
          <w:sz w:val="24"/>
          <w:szCs w:val="24"/>
        </w:rPr>
        <w:t>日期：</w:t>
      </w:r>
    </w:p>
    <w:p>
      <w:pPr>
        <w:spacing w:line="480" w:lineRule="auto"/>
        <w:rPr>
          <w:rFonts w:ascii="宋体"/>
          <w:b/>
          <w:color w:val="auto"/>
          <w:spacing w:val="6"/>
          <w:szCs w:val="21"/>
        </w:rPr>
      </w:pPr>
      <w:r>
        <w:rPr>
          <w:rFonts w:hint="eastAsia" w:ascii="宋体" w:hAnsi="宋体" w:eastAsia="宋体" w:cs="宋体"/>
          <w:i w:val="0"/>
          <w:iCs w:val="0"/>
          <w:color w:val="000000"/>
          <w:spacing w:val="0"/>
          <w:w w:val="100"/>
          <w:position w:val="0"/>
          <w:sz w:val="20"/>
          <w:szCs w:val="20"/>
          <w:lang w:val="en-US" w:eastAsia="zh-CN"/>
        </w:rPr>
        <w:t>1：</w:t>
      </w:r>
      <w:r>
        <w:rPr>
          <w:rFonts w:hint="eastAsia" w:ascii="宋体" w:hAnsi="宋体" w:eastAsia="宋体" w:cs="宋体"/>
          <w:i w:val="0"/>
          <w:iCs w:val="0"/>
          <w:color w:val="000000"/>
          <w:spacing w:val="0"/>
          <w:w w:val="100"/>
          <w:position w:val="0"/>
          <w:sz w:val="20"/>
          <w:szCs w:val="20"/>
        </w:rPr>
        <w:t>从业人员、营业收入、资产总额填报上一年度数据，无上一年度数据的新成立企业可不填报。</w:t>
      </w:r>
      <w:r>
        <w:rPr>
          <w:rFonts w:hint="eastAsia" w:ascii="宋体" w:hAnsi="宋体"/>
          <w:color w:val="auto"/>
          <w:spacing w:val="6"/>
          <w:szCs w:val="21"/>
        </w:rPr>
        <w:t>附：（注：本</w:t>
      </w:r>
      <w:r>
        <w:rPr>
          <w:rFonts w:hint="eastAsia" w:ascii="宋体" w:hAnsi="宋体"/>
          <w:color w:val="auto"/>
          <w:spacing w:val="6"/>
          <w:szCs w:val="21"/>
          <w:lang w:eastAsia="zh-CN"/>
        </w:rPr>
        <w:t>证明格式</w:t>
      </w:r>
      <w:r>
        <w:rPr>
          <w:rFonts w:hint="eastAsia" w:ascii="宋体" w:hAnsi="宋体"/>
          <w:color w:val="auto"/>
          <w:spacing w:val="6"/>
          <w:szCs w:val="21"/>
        </w:rPr>
        <w:t>对监狱企业参与政府采购活动时适用）</w:t>
      </w:r>
    </w:p>
    <w:p>
      <w:pPr>
        <w:tabs>
          <w:tab w:val="left" w:pos="4860"/>
        </w:tabs>
        <w:spacing w:line="588" w:lineRule="exact"/>
        <w:ind w:right="1560"/>
        <w:rPr>
          <w:color w:val="auto"/>
        </w:rPr>
      </w:pPr>
    </w:p>
    <w:p>
      <w:pPr>
        <w:spacing w:beforeLines="0" w:afterLines="0" w:line="480" w:lineRule="auto"/>
        <w:jc w:val="center"/>
        <w:rPr>
          <w:rFonts w:hint="default" w:ascii="黑体" w:hAnsi="黑体" w:eastAsia="黑体"/>
          <w:color w:val="000000"/>
          <w:sz w:val="32"/>
        </w:rPr>
      </w:pPr>
      <w:r>
        <w:rPr>
          <w:rFonts w:hint="default" w:ascii="黑体" w:hAnsi="黑体" w:eastAsia="黑体"/>
          <w:color w:val="000000"/>
          <w:sz w:val="32"/>
        </w:rPr>
        <w:t>监狱企业的证明文件</w:t>
      </w:r>
    </w:p>
    <w:p>
      <w:pPr>
        <w:spacing w:beforeLines="0" w:afterLines="0" w:line="48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 xml:space="preserve">说明：监狱企业参加政府采购活动时，应当提供由省级以上监狱管理局、戒毒管理局（含新疆生产建设兵团）出具的属于监狱企业的证明文件，并加盖响应供应商单位公章。 </w:t>
      </w:r>
    </w:p>
    <w:p>
      <w:pPr>
        <w:spacing w:beforeLines="0" w:afterLines="0" w:line="480" w:lineRule="auto"/>
        <w:jc w:val="center"/>
        <w:rPr>
          <w:rFonts w:hint="default" w:ascii="黑体" w:hAnsi="黑体" w:eastAsia="黑体"/>
          <w:color w:val="000000"/>
          <w:sz w:val="32"/>
        </w:rPr>
      </w:pPr>
      <w:r>
        <w:rPr>
          <w:rFonts w:hint="default" w:ascii="黑体" w:hAnsi="黑体" w:eastAsia="黑体"/>
          <w:color w:val="000000"/>
          <w:sz w:val="32"/>
        </w:rPr>
        <w:t>（如响应供应商不属于残疾人福利性单位无须提供）</w:t>
      </w:r>
    </w:p>
    <w:p>
      <w:pPr>
        <w:spacing w:beforeLines="0" w:afterLines="0" w:line="480" w:lineRule="auto"/>
        <w:jc w:val="center"/>
        <w:rPr>
          <w:rFonts w:hint="eastAsia" w:ascii="黑体" w:hAnsi="黑体" w:eastAsia="黑体"/>
          <w:color w:val="000000"/>
          <w:sz w:val="32"/>
        </w:rPr>
      </w:pPr>
      <w:r>
        <w:rPr>
          <w:rFonts w:hint="default" w:ascii="黑体" w:hAnsi="黑体" w:eastAsia="黑体"/>
          <w:color w:val="000000"/>
          <w:sz w:val="32"/>
        </w:rPr>
        <w:t>残疾人福利性单位声明函</w:t>
      </w:r>
    </w:p>
    <w:p>
      <w:pPr>
        <w:spacing w:beforeLines="0" w:afterLines="0" w:line="48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spacing w:beforeLines="0" w:afterLines="0" w:line="480" w:lineRule="auto"/>
        <w:jc w:val="left"/>
        <w:rPr>
          <w:rFonts w:hint="eastAsia" w:ascii="宋体" w:hAnsi="宋体" w:eastAsia="宋体"/>
          <w:color w:val="000000"/>
          <w:sz w:val="21"/>
        </w:rPr>
      </w:pPr>
      <w:r>
        <w:rPr>
          <w:rFonts w:hint="eastAsia" w:ascii="宋体" w:hAnsi="宋体" w:eastAsia="宋体"/>
          <w:color w:val="000000"/>
          <w:sz w:val="21"/>
        </w:rPr>
        <w:t xml:space="preserve">本单位对上述声明的真实性负责。如有虚假，将依法承担相应责任。 </w:t>
      </w:r>
    </w:p>
    <w:p>
      <w:pPr>
        <w:spacing w:beforeLines="0" w:afterLines="0" w:line="480" w:lineRule="auto"/>
        <w:jc w:val="left"/>
        <w:rPr>
          <w:rFonts w:hint="eastAsia" w:ascii="宋体" w:hAnsi="宋体" w:eastAsia="宋体"/>
          <w:color w:val="000000"/>
          <w:sz w:val="21"/>
        </w:rPr>
      </w:pPr>
    </w:p>
    <w:p>
      <w:pPr>
        <w:spacing w:beforeLines="0" w:afterLines="0" w:line="480" w:lineRule="auto"/>
        <w:jc w:val="left"/>
        <w:rPr>
          <w:rFonts w:hint="eastAsia" w:ascii="宋体" w:hAnsi="宋体" w:eastAsia="宋体"/>
          <w:color w:val="000000"/>
          <w:sz w:val="21"/>
        </w:rPr>
      </w:pPr>
    </w:p>
    <w:p>
      <w:pPr>
        <w:spacing w:beforeLines="0" w:afterLines="0" w:line="480" w:lineRule="auto"/>
        <w:jc w:val="left"/>
        <w:rPr>
          <w:rFonts w:hint="eastAsia" w:ascii="宋体" w:hAnsi="宋体" w:eastAsia="宋体"/>
          <w:color w:val="000000"/>
          <w:sz w:val="21"/>
        </w:rPr>
      </w:pPr>
      <w:r>
        <w:rPr>
          <w:rFonts w:hint="eastAsia" w:ascii="宋体" w:hAnsi="宋体" w:eastAsia="宋体"/>
          <w:color w:val="000000"/>
          <w:sz w:val="21"/>
        </w:rPr>
        <w:t xml:space="preserve">单位名称（盖章）： </w:t>
      </w:r>
    </w:p>
    <w:p>
      <w:pPr>
        <w:pStyle w:val="2"/>
        <w:rPr>
          <w:color w:val="auto"/>
        </w:rPr>
      </w:pPr>
      <w:r>
        <w:rPr>
          <w:rFonts w:hint="eastAsia" w:ascii="宋体" w:hAnsi="宋体" w:eastAsia="宋体"/>
          <w:color w:val="000000"/>
          <w:sz w:val="21"/>
        </w:rPr>
        <w:t xml:space="preserve">日 期：2020年 月 日 </w:t>
      </w:r>
      <w:r>
        <w:rPr>
          <w:color w:val="auto"/>
        </w:rPr>
        <w:br w:type="page"/>
      </w:r>
    </w:p>
    <w:p>
      <w:pPr>
        <w:tabs>
          <w:tab w:val="left" w:pos="4860"/>
        </w:tabs>
        <w:spacing w:line="588" w:lineRule="exact"/>
        <w:ind w:right="1560"/>
        <w:rPr>
          <w:rFonts w:ascii="??_GB2312" w:eastAsia="Times New Roman"/>
          <w:color w:val="FF0000"/>
          <w:spacing w:val="6"/>
          <w:sz w:val="28"/>
          <w:szCs w:val="28"/>
        </w:rPr>
      </w:pPr>
      <w:r>
        <w:rPr>
          <w:rFonts w:ascii="Arial" w:hAnsi="Arial"/>
          <w:b/>
          <w:color w:val="auto"/>
          <w:sz w:val="32"/>
          <w:szCs w:val="32"/>
        </w:rPr>
        <w:t>5</w:t>
      </w:r>
      <w:r>
        <w:rPr>
          <w:rFonts w:hint="eastAsia" w:ascii="Arial" w:hAnsi="Arial"/>
          <w:b/>
          <w:color w:val="auto"/>
          <w:sz w:val="32"/>
          <w:szCs w:val="32"/>
        </w:rPr>
        <w:t>．资格证明文件格式</w:t>
      </w:r>
      <w:bookmarkEnd w:id="19"/>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lang w:eastAsia="zh-CN"/>
        </w:rPr>
        <w:t>响应供应商</w:t>
      </w:r>
      <w:r>
        <w:rPr>
          <w:rFonts w:hint="eastAsia" w:ascii="宋体"/>
          <w:color w:val="auto"/>
        </w:rPr>
        <w:t>应按照磋商文件的要求做出全面的响应。其内容应包括但不限于以下各项：</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 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 提供2019年度财务状况报告或2020年任意1个月的财务状况报告复印件，或银行出具的资信证明材料复印件。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 提供2020年任意1个月缴纳税收和社会保险的凭据证明材料复印件；如依法免税或不需要缴纳社会保障资金的，应提供相应文件证明。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 提供履行合同所必需的设备和专业技术能力的书面声明（提供《响应供应商资格声明函》）。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 提供参加政府采购活动前3年内在经营活动中没有重大违法记录的书面声明；（提供《响应供应商资格声明函》）。</w:t>
      </w:r>
    </w:p>
    <w:p>
      <w:pPr>
        <w:pStyle w:val="2"/>
        <w:ind w:firstLine="420" w:firstLineChars="200"/>
        <w:rPr>
          <w:rFonts w:hint="eastAsia"/>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5.2、投标供应商具有独立承担民事责任能力的在中华人民共和国境内注册的法人或其他组织，具有从事本项目的经营范围。</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5.3、投标供应商未被列入“信用中国”网站(www.creditchina.gov.cn )“记录失信被执行人或重大税收 违法案件当事人名单或政府采购严重违法失信行为”记录名单；不处于中国政府采购网 (www.ccgp.gov.cn)“政府采购严重违法失信行为信息记录”中的禁止参加政府采购活动期间。【在“信用中国”网站（www.creditchina.gov.cn）及中国政府采购网(www.ccgp.gov.cn )查询结果以投标提供截图并加盖公章为准，如相关失信记录已失效，投标需提供相关证明资料。查询有效期为自本项目采购公告发出之日起至递交投标文件截止时间止】；</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5.4、为采购项目提供整体设计、规范编制或者项目管理、监理、检测等服务的供应商，不得再参加该采购项目的其他采购活动。（提供《响应供应商资格声明函》）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5.5、单位负责人为同一人或者存在直接控股、管理关系的不同供应商，不得参加同一合同项下的政府采购活动。（提供《响应供应商资格声明函》）；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5.6、本项目不接受联合体投标，不允许转包和分包。</w:t>
      </w: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adjustRightInd w:val="0"/>
        <w:snapToGrid w:val="0"/>
        <w:spacing w:line="360" w:lineRule="auto"/>
        <w:rPr>
          <w:rFonts w:ascii="宋体"/>
          <w:color w:val="auto"/>
          <w:szCs w:val="21"/>
          <w:u w:val="single"/>
        </w:rPr>
      </w:pPr>
      <w:bookmarkStart w:id="20" w:name="_Hlt10549792"/>
      <w:bookmarkEnd w:id="20"/>
      <w:bookmarkStart w:id="21" w:name="_Toc42951056"/>
      <w:r>
        <w:rPr>
          <w:b/>
          <w:bCs/>
          <w:color w:val="auto"/>
          <w:kern w:val="44"/>
          <w:sz w:val="32"/>
          <w:szCs w:val="32"/>
        </w:rPr>
        <w:t xml:space="preserve"> </w:t>
      </w:r>
      <w:r>
        <w:rPr>
          <w:rFonts w:hint="eastAsia"/>
          <w:b/>
          <w:bCs/>
          <w:color w:val="auto"/>
          <w:kern w:val="44"/>
          <w:sz w:val="32"/>
          <w:szCs w:val="32"/>
          <w:lang w:val="en-US" w:eastAsia="zh-CN"/>
        </w:rPr>
        <w:t>6</w:t>
      </w:r>
      <w:r>
        <w:rPr>
          <w:rFonts w:hint="eastAsia"/>
          <w:b/>
          <w:bCs/>
          <w:color w:val="auto"/>
          <w:kern w:val="44"/>
          <w:sz w:val="32"/>
          <w:szCs w:val="32"/>
        </w:rPr>
        <w:t>．用户需求响应一览表格式</w:t>
      </w:r>
      <w:bookmarkEnd w:id="21"/>
    </w:p>
    <w:p>
      <w:pPr>
        <w:spacing w:line="360" w:lineRule="auto"/>
        <w:jc w:val="center"/>
        <w:rPr>
          <w:rFonts w:ascii="宋体" w:hAnsi="宋体"/>
          <w:b/>
          <w:sz w:val="28"/>
        </w:rPr>
      </w:pPr>
      <w:r>
        <w:rPr>
          <w:rFonts w:hint="eastAsia" w:ascii="宋体" w:hAnsi="宋体"/>
          <w:b/>
          <w:sz w:val="28"/>
        </w:rPr>
        <w:t>用户需求响应一览表</w:t>
      </w:r>
    </w:p>
    <w:p>
      <w:pPr>
        <w:spacing w:line="360" w:lineRule="auto"/>
        <w:rPr>
          <w:rFonts w:ascii="宋体" w:hAnsi="宋体"/>
        </w:rPr>
      </w:pPr>
    </w:p>
    <w:p>
      <w:pPr>
        <w:spacing w:line="360" w:lineRule="auto"/>
        <w:rPr>
          <w:rFonts w:ascii="宋体" w:hAnsi="宋体"/>
        </w:rPr>
      </w:pPr>
      <w:r>
        <w:rPr>
          <w:rFonts w:hint="eastAsia" w:ascii="宋体" w:hAnsi="宋体"/>
        </w:rPr>
        <w:t>响应供应商名称：</w:t>
      </w:r>
    </w:p>
    <w:tbl>
      <w:tblPr>
        <w:tblStyle w:val="28"/>
        <w:tblW w:w="9330" w:type="dxa"/>
        <w:tblInd w:w="13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84"/>
        <w:gridCol w:w="2671"/>
        <w:gridCol w:w="2930"/>
        <w:gridCol w:w="30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684" w:type="dxa"/>
            <w:vAlign w:val="center"/>
          </w:tcPr>
          <w:p>
            <w:pPr>
              <w:jc w:val="center"/>
              <w:rPr>
                <w:rFonts w:ascii="宋体" w:hAnsi="宋体"/>
                <w:b/>
              </w:rPr>
            </w:pPr>
            <w:r>
              <w:rPr>
                <w:rFonts w:hint="eastAsia" w:ascii="宋体" w:hAnsi="宋体"/>
                <w:b/>
              </w:rPr>
              <w:t>序号</w:t>
            </w:r>
          </w:p>
        </w:tc>
        <w:tc>
          <w:tcPr>
            <w:tcW w:w="2671" w:type="dxa"/>
            <w:vAlign w:val="center"/>
          </w:tcPr>
          <w:p>
            <w:pPr>
              <w:jc w:val="center"/>
              <w:rPr>
                <w:rFonts w:ascii="宋体" w:hAnsi="宋体"/>
                <w:b/>
              </w:rPr>
            </w:pPr>
            <w:r>
              <w:rPr>
                <w:rFonts w:hint="eastAsia" w:ascii="宋体" w:hAnsi="宋体"/>
                <w:b/>
              </w:rPr>
              <w:t>竞争性磋商文件条款描述</w:t>
            </w:r>
          </w:p>
        </w:tc>
        <w:tc>
          <w:tcPr>
            <w:tcW w:w="2930" w:type="dxa"/>
            <w:vAlign w:val="center"/>
          </w:tcPr>
          <w:p>
            <w:pPr>
              <w:jc w:val="center"/>
              <w:rPr>
                <w:rFonts w:ascii="宋体" w:hAnsi="宋体"/>
                <w:b/>
              </w:rPr>
            </w:pPr>
            <w:r>
              <w:rPr>
                <w:rFonts w:hint="eastAsia" w:ascii="宋体" w:hAnsi="宋体"/>
                <w:b/>
              </w:rPr>
              <w:t>响应供应商响应描述</w:t>
            </w:r>
          </w:p>
        </w:tc>
        <w:tc>
          <w:tcPr>
            <w:tcW w:w="3045" w:type="dxa"/>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1</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2</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3</w:t>
            </w:r>
          </w:p>
        </w:tc>
        <w:tc>
          <w:tcPr>
            <w:tcW w:w="2671" w:type="dxa"/>
          </w:tcPr>
          <w:p>
            <w:pPr>
              <w:jc w:val="left"/>
            </w:pPr>
            <w:r>
              <w:rPr>
                <w:rFonts w:hint="eastAsia"/>
              </w:rPr>
              <w:t xml:space="preserve"> </w:t>
            </w: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4</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5</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6</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84" w:type="dxa"/>
            <w:vAlign w:val="center"/>
          </w:tcPr>
          <w:p>
            <w:pPr>
              <w:jc w:val="center"/>
              <w:rPr>
                <w:rFonts w:ascii="宋体" w:hAnsi="宋体"/>
              </w:rPr>
            </w:pPr>
            <w:r>
              <w:rPr>
                <w:rFonts w:hint="eastAsia" w:ascii="宋体" w:hAnsi="宋体"/>
              </w:rPr>
              <w:t>7</w:t>
            </w:r>
          </w:p>
        </w:tc>
        <w:tc>
          <w:tcPr>
            <w:tcW w:w="2671" w:type="dxa"/>
          </w:tcPr>
          <w:p>
            <w:pPr>
              <w:jc w:val="left"/>
            </w:pPr>
          </w:p>
        </w:tc>
        <w:tc>
          <w:tcPr>
            <w:tcW w:w="2930" w:type="dxa"/>
          </w:tcPr>
          <w:p>
            <w:pPr>
              <w:rPr>
                <w:rFonts w:ascii="宋体" w:hAnsi="宋体"/>
              </w:rPr>
            </w:pPr>
          </w:p>
        </w:tc>
        <w:tc>
          <w:tcPr>
            <w:tcW w:w="3045" w:type="dxa"/>
          </w:tcPr>
          <w:p>
            <w:pPr>
              <w:rPr>
                <w:rFonts w:ascii="宋体" w:hAnsi="宋体"/>
              </w:rPr>
            </w:pPr>
          </w:p>
        </w:tc>
      </w:tr>
    </w:tbl>
    <w:p>
      <w:pPr>
        <w:spacing w:line="360" w:lineRule="auto"/>
        <w:rPr>
          <w:rFonts w:ascii="宋体" w:hAnsi="宋体"/>
        </w:rPr>
      </w:pPr>
      <w:r>
        <w:rPr>
          <w:rFonts w:hint="eastAsia" w:ascii="宋体" w:hAnsi="宋体"/>
        </w:rPr>
        <w:t>说明：响应供应商必须对应竞争性磋商文件的用户需求书条款逐条应答并按要求填写下表。</w:t>
      </w:r>
    </w:p>
    <w:p>
      <w:pPr>
        <w:spacing w:line="360" w:lineRule="auto"/>
        <w:rPr>
          <w:rFonts w:ascii="宋体" w:hAnsi="宋体"/>
        </w:rPr>
      </w:pPr>
    </w:p>
    <w:p>
      <w:pPr>
        <w:spacing w:line="480" w:lineRule="auto"/>
        <w:rPr>
          <w:rFonts w:ascii="宋体" w:hAnsi="宋体" w:cs="宋体"/>
          <w:szCs w:val="21"/>
          <w:u w:val="single"/>
        </w:rPr>
      </w:pPr>
      <w:r>
        <w:rPr>
          <w:rFonts w:hint="eastAsia" w:ascii="宋体" w:hAnsi="宋体"/>
        </w:rPr>
        <w:t>响应供应商名称（盖公章）</w:t>
      </w:r>
      <w:r>
        <w:rPr>
          <w:rFonts w:hint="eastAsia" w:ascii="宋体" w:hAnsi="宋体" w:cs="宋体"/>
          <w:szCs w:val="21"/>
        </w:rPr>
        <w:t>：</w:t>
      </w:r>
      <w:r>
        <w:rPr>
          <w:rFonts w:hint="eastAsia" w:ascii="宋体" w:hAnsi="宋体" w:cs="宋体"/>
          <w:szCs w:val="21"/>
          <w:u w:val="single"/>
        </w:rPr>
        <w:t xml:space="preserve">                        </w:t>
      </w:r>
    </w:p>
    <w:p>
      <w:pPr>
        <w:spacing w:line="480" w:lineRule="auto"/>
      </w:pPr>
      <w:r>
        <w:rPr>
          <w:rFonts w:hint="eastAsia" w:ascii="宋体" w:hAnsi="宋体"/>
        </w:rPr>
        <w:t>法定代表人或响应供应商授权代表（签名或盖章）：</w:t>
      </w:r>
      <w:r>
        <w:rPr>
          <w:rFonts w:hint="eastAsia" w:ascii="宋体" w:hAnsi="宋体" w:cs="宋体"/>
          <w:szCs w:val="21"/>
          <w:u w:val="single"/>
        </w:rPr>
        <w:t xml:space="preserve">                   </w:t>
      </w:r>
    </w:p>
    <w:p>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pStyle w:val="6"/>
        <w:tabs>
          <w:tab w:val="clear" w:pos="864"/>
        </w:tabs>
        <w:ind w:left="0" w:firstLine="0"/>
        <w:rPr>
          <w:rFonts w:hint="eastAsia" w:ascii="宋体" w:hAnsi="宋体" w:eastAsia="宋体"/>
          <w:color w:val="auto"/>
        </w:rPr>
      </w:pPr>
    </w:p>
    <w:p>
      <w:pPr>
        <w:pStyle w:val="6"/>
        <w:tabs>
          <w:tab w:val="clear" w:pos="864"/>
        </w:tabs>
        <w:ind w:left="0" w:firstLine="0"/>
        <w:rPr>
          <w:rFonts w:hint="eastAsia" w:ascii="宋体" w:hAnsi="宋体" w:eastAsia="宋体"/>
          <w:color w:val="auto"/>
        </w:rPr>
      </w:pPr>
    </w:p>
    <w:p>
      <w:pPr>
        <w:rPr>
          <w:rFonts w:hint="eastAsia" w:ascii="宋体" w:hAnsi="宋体" w:eastAsia="宋体"/>
          <w:color w:val="auto"/>
        </w:rPr>
      </w:pPr>
    </w:p>
    <w:p>
      <w:pPr>
        <w:pStyle w:val="21"/>
        <w:rPr>
          <w:rFonts w:hint="eastAsia" w:ascii="宋体" w:hAnsi="宋体" w:eastAsia="宋体"/>
          <w:color w:val="auto"/>
        </w:rPr>
      </w:pPr>
    </w:p>
    <w:p>
      <w:pPr>
        <w:rPr>
          <w:rFonts w:hint="eastAsia" w:ascii="宋体" w:hAnsi="宋体" w:eastAsia="宋体"/>
          <w:color w:val="auto"/>
        </w:rPr>
      </w:pPr>
    </w:p>
    <w:p>
      <w:pPr>
        <w:pStyle w:val="21"/>
        <w:rPr>
          <w:rFonts w:hint="eastAsia" w:ascii="宋体" w:hAnsi="宋体" w:eastAsia="宋体"/>
          <w:color w:val="auto"/>
        </w:rPr>
      </w:pPr>
    </w:p>
    <w:p>
      <w:pPr>
        <w:rPr>
          <w:rFonts w:hint="eastAsia" w:ascii="宋体" w:hAnsi="宋体" w:eastAsia="宋体"/>
          <w:color w:val="auto"/>
        </w:rPr>
      </w:pPr>
    </w:p>
    <w:p>
      <w:pPr>
        <w:pStyle w:val="21"/>
        <w:rPr>
          <w:rFonts w:hint="eastAsia" w:ascii="宋体" w:hAnsi="宋体" w:eastAsia="宋体"/>
          <w:color w:val="auto"/>
        </w:rPr>
      </w:pPr>
    </w:p>
    <w:p>
      <w:pPr>
        <w:rPr>
          <w:rFonts w:hint="eastAsia" w:ascii="宋体" w:hAnsi="宋体" w:eastAsia="宋体"/>
          <w:color w:val="auto"/>
        </w:rPr>
      </w:pPr>
    </w:p>
    <w:p>
      <w:pPr>
        <w:pStyle w:val="21"/>
        <w:rPr>
          <w:rFonts w:hint="eastAsia" w:ascii="宋体" w:hAnsi="宋体" w:eastAsia="宋体"/>
          <w:color w:val="auto"/>
        </w:rPr>
      </w:pPr>
    </w:p>
    <w:p>
      <w:pPr>
        <w:spacing w:line="360" w:lineRule="auto"/>
        <w:jc w:val="center"/>
        <w:rPr>
          <w:rFonts w:ascii="宋体" w:hAnsi="宋体"/>
          <w:b/>
          <w:sz w:val="28"/>
          <w:szCs w:val="28"/>
        </w:rPr>
      </w:pPr>
      <w:r>
        <w:rPr>
          <w:rFonts w:hint="eastAsia" w:ascii="宋体" w:hAnsi="宋体"/>
          <w:b/>
          <w:sz w:val="28"/>
          <w:szCs w:val="28"/>
        </w:rPr>
        <w:t>实质性条款响应一览表</w:t>
      </w:r>
    </w:p>
    <w:p>
      <w:pPr>
        <w:spacing w:line="360" w:lineRule="auto"/>
        <w:ind w:firstLine="420" w:firstLineChars="200"/>
        <w:rPr>
          <w:rFonts w:ascii="宋体" w:hAnsi="宋体"/>
        </w:rPr>
      </w:pPr>
      <w:r>
        <w:rPr>
          <w:rFonts w:hint="eastAsia" w:ascii="宋体" w:hAnsi="宋体"/>
        </w:rPr>
        <w:t>说明：响应供应商必须对应竞争性磋商文件带“★”的实质性条款逐条应答并按要求填写下表。</w:t>
      </w:r>
    </w:p>
    <w:p>
      <w:pPr>
        <w:spacing w:line="360" w:lineRule="auto"/>
        <w:rPr>
          <w:rFonts w:ascii="宋体" w:hAnsi="宋体"/>
        </w:rPr>
      </w:pPr>
    </w:p>
    <w:p>
      <w:pPr>
        <w:spacing w:line="360" w:lineRule="auto"/>
        <w:rPr>
          <w:rFonts w:ascii="宋体" w:hAnsi="宋体"/>
        </w:rPr>
      </w:pPr>
      <w:r>
        <w:rPr>
          <w:rFonts w:hint="eastAsia" w:ascii="宋体" w:hAnsi="宋体"/>
        </w:rPr>
        <w:t>响应供应商名称：</w:t>
      </w:r>
    </w:p>
    <w:tbl>
      <w:tblPr>
        <w:tblStyle w:val="28"/>
        <w:tblW w:w="97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76"/>
        <w:gridCol w:w="3553"/>
        <w:gridCol w:w="1421"/>
        <w:gridCol w:w="2415"/>
        <w:gridCol w:w="167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6" w:type="dxa"/>
            <w:vAlign w:val="center"/>
          </w:tcPr>
          <w:p>
            <w:pPr>
              <w:spacing w:line="360" w:lineRule="auto"/>
              <w:jc w:val="center"/>
              <w:rPr>
                <w:rFonts w:ascii="宋体" w:hAnsi="宋体"/>
                <w:b/>
              </w:rPr>
            </w:pPr>
            <w:r>
              <w:rPr>
                <w:rFonts w:hint="eastAsia" w:ascii="宋体" w:hAnsi="宋体"/>
                <w:b/>
              </w:rPr>
              <w:t>序号</w:t>
            </w:r>
          </w:p>
        </w:tc>
        <w:tc>
          <w:tcPr>
            <w:tcW w:w="3553" w:type="dxa"/>
            <w:vAlign w:val="center"/>
          </w:tcPr>
          <w:p>
            <w:pPr>
              <w:spacing w:line="360" w:lineRule="auto"/>
              <w:jc w:val="center"/>
              <w:rPr>
                <w:rFonts w:ascii="宋体" w:hAnsi="宋体"/>
                <w:b/>
              </w:rPr>
            </w:pPr>
            <w:r>
              <w:rPr>
                <w:rFonts w:hint="eastAsia" w:ascii="宋体" w:hAnsi="宋体"/>
                <w:b/>
              </w:rPr>
              <w:t>竞争性磋商文件★号条款描述</w:t>
            </w:r>
          </w:p>
        </w:tc>
        <w:tc>
          <w:tcPr>
            <w:tcW w:w="1421" w:type="dxa"/>
            <w:vAlign w:val="center"/>
          </w:tcPr>
          <w:p>
            <w:pPr>
              <w:spacing w:line="360" w:lineRule="auto"/>
              <w:jc w:val="center"/>
              <w:rPr>
                <w:rFonts w:ascii="宋体" w:hAnsi="宋体"/>
                <w:b/>
              </w:rPr>
            </w:pPr>
            <w:r>
              <w:rPr>
                <w:rFonts w:hint="eastAsia" w:ascii="宋体" w:hAnsi="宋体"/>
                <w:b/>
              </w:rPr>
              <w:t>响应供应商响应描述</w:t>
            </w:r>
          </w:p>
        </w:tc>
        <w:tc>
          <w:tcPr>
            <w:tcW w:w="2415" w:type="dxa"/>
            <w:vAlign w:val="center"/>
          </w:tcPr>
          <w:p>
            <w:pPr>
              <w:spacing w:line="360" w:lineRule="auto"/>
              <w:jc w:val="center"/>
              <w:rPr>
                <w:rFonts w:ascii="宋体" w:hAnsi="宋体"/>
                <w:b/>
              </w:rPr>
            </w:pPr>
            <w:r>
              <w:rPr>
                <w:rFonts w:ascii="宋体" w:hAnsi="宋体"/>
                <w:b/>
              </w:rPr>
              <w:t>偏离情况说明（正偏离/完全响应/负偏离）</w:t>
            </w:r>
          </w:p>
        </w:tc>
        <w:tc>
          <w:tcPr>
            <w:tcW w:w="1671" w:type="dxa"/>
            <w:vAlign w:val="center"/>
          </w:tcPr>
          <w:p>
            <w:pPr>
              <w:spacing w:line="360" w:lineRule="auto"/>
              <w:jc w:val="center"/>
              <w:rPr>
                <w:rFonts w:ascii="宋体" w:hAnsi="宋体"/>
                <w:b/>
              </w:rPr>
            </w:pPr>
            <w:r>
              <w:rPr>
                <w:rFonts w:hint="eastAsia" w:ascii="宋体" w:hAnsi="宋体"/>
                <w:b/>
              </w:rPr>
              <w:t>查阅/证明文件指引</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676" w:type="dxa"/>
            <w:vAlign w:val="center"/>
          </w:tcPr>
          <w:p>
            <w:pPr>
              <w:spacing w:line="360" w:lineRule="auto"/>
              <w:jc w:val="center"/>
              <w:rPr>
                <w:rFonts w:ascii="宋体" w:hAnsi="宋体"/>
              </w:rPr>
            </w:pPr>
            <w:r>
              <w:rPr>
                <w:rFonts w:hint="eastAsia" w:ascii="宋体" w:hAnsi="宋体"/>
              </w:rPr>
              <w:t>1</w:t>
            </w:r>
          </w:p>
        </w:tc>
        <w:tc>
          <w:tcPr>
            <w:tcW w:w="3553" w:type="dxa"/>
          </w:tcPr>
          <w:p>
            <w:pPr>
              <w:spacing w:line="360" w:lineRule="auto"/>
              <w:rPr>
                <w:rFonts w:ascii="宋体" w:hAnsi="宋体"/>
              </w:rPr>
            </w:pPr>
          </w:p>
        </w:tc>
        <w:tc>
          <w:tcPr>
            <w:tcW w:w="1421" w:type="dxa"/>
            <w:vAlign w:val="center"/>
          </w:tcPr>
          <w:p>
            <w:pPr>
              <w:spacing w:line="360" w:lineRule="auto"/>
              <w:jc w:val="center"/>
              <w:rPr>
                <w:rFonts w:ascii="宋体" w:hAnsi="宋体"/>
              </w:rPr>
            </w:pPr>
          </w:p>
        </w:tc>
        <w:tc>
          <w:tcPr>
            <w:tcW w:w="2415" w:type="dxa"/>
            <w:vAlign w:val="center"/>
          </w:tcPr>
          <w:p>
            <w:pPr>
              <w:spacing w:line="360" w:lineRule="auto"/>
              <w:jc w:val="center"/>
              <w:rPr>
                <w:rFonts w:ascii="宋体" w:hAnsi="宋体"/>
              </w:rPr>
            </w:pPr>
          </w:p>
        </w:tc>
        <w:tc>
          <w:tcPr>
            <w:tcW w:w="1671" w:type="dxa"/>
            <w:vAlign w:val="center"/>
          </w:tcPr>
          <w:p>
            <w:pPr>
              <w:spacing w:line="360" w:lineRule="auto"/>
              <w:jc w:val="center"/>
              <w:rPr>
                <w:rFonts w:ascii="宋体" w:hAnsi="宋体"/>
              </w:rPr>
            </w:pPr>
            <w:r>
              <w:rPr>
                <w:rFonts w:hint="eastAsia" w:ascii="宋体" w:hAnsi="宋体"/>
              </w:rPr>
              <w:t>见《响应文件》</w:t>
            </w:r>
          </w:p>
          <w:p>
            <w:pPr>
              <w:spacing w:line="360" w:lineRule="auto"/>
              <w:jc w:val="center"/>
              <w:rPr>
                <w:rFonts w:ascii="宋体" w:hAnsi="宋体"/>
                <w:u w:val="single"/>
              </w:rPr>
            </w:pPr>
            <w:r>
              <w:rPr>
                <w:rFonts w:hint="eastAsia" w:ascii="宋体" w:hAnsi="宋体"/>
              </w:rPr>
              <w:t>第</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页</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76" w:type="dxa"/>
            <w:vAlign w:val="center"/>
          </w:tcPr>
          <w:p>
            <w:pPr>
              <w:jc w:val="center"/>
              <w:rPr>
                <w:rFonts w:ascii="宋体" w:hAnsi="宋体"/>
              </w:rPr>
            </w:pPr>
            <w:r>
              <w:rPr>
                <w:rFonts w:ascii="宋体" w:hAnsi="宋体"/>
                <w:color w:val="000000"/>
              </w:rPr>
              <w:t>…</w:t>
            </w:r>
          </w:p>
        </w:tc>
        <w:tc>
          <w:tcPr>
            <w:tcW w:w="3553" w:type="dxa"/>
          </w:tcPr>
          <w:p>
            <w:pPr>
              <w:spacing w:line="360" w:lineRule="auto"/>
              <w:rPr>
                <w:rFonts w:ascii="宋体" w:hAnsi="宋体"/>
              </w:rPr>
            </w:pPr>
          </w:p>
        </w:tc>
        <w:tc>
          <w:tcPr>
            <w:tcW w:w="1421" w:type="dxa"/>
            <w:vAlign w:val="center"/>
          </w:tcPr>
          <w:p>
            <w:pPr>
              <w:spacing w:line="360" w:lineRule="auto"/>
              <w:jc w:val="center"/>
              <w:rPr>
                <w:rFonts w:ascii="宋体" w:hAnsi="宋体"/>
              </w:rPr>
            </w:pPr>
          </w:p>
        </w:tc>
        <w:tc>
          <w:tcPr>
            <w:tcW w:w="2415" w:type="dxa"/>
            <w:vAlign w:val="center"/>
          </w:tcPr>
          <w:p>
            <w:pPr>
              <w:spacing w:line="360" w:lineRule="auto"/>
              <w:jc w:val="center"/>
              <w:rPr>
                <w:rFonts w:ascii="宋体" w:hAnsi="宋体"/>
              </w:rPr>
            </w:pPr>
          </w:p>
        </w:tc>
        <w:tc>
          <w:tcPr>
            <w:tcW w:w="1671" w:type="dxa"/>
            <w:vAlign w:val="center"/>
          </w:tcPr>
          <w:p>
            <w:pPr>
              <w:spacing w:line="360"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76" w:type="dxa"/>
            <w:vAlign w:val="center"/>
          </w:tcPr>
          <w:p>
            <w:pPr>
              <w:spacing w:line="360" w:lineRule="auto"/>
              <w:jc w:val="center"/>
              <w:rPr>
                <w:rFonts w:ascii="宋体" w:hAnsi="宋体"/>
              </w:rPr>
            </w:pPr>
          </w:p>
        </w:tc>
        <w:tc>
          <w:tcPr>
            <w:tcW w:w="3553" w:type="dxa"/>
          </w:tcPr>
          <w:p>
            <w:pPr>
              <w:spacing w:line="360" w:lineRule="auto"/>
              <w:rPr>
                <w:rFonts w:ascii="宋体" w:hAnsi="宋体"/>
              </w:rPr>
            </w:pPr>
          </w:p>
        </w:tc>
        <w:tc>
          <w:tcPr>
            <w:tcW w:w="1421" w:type="dxa"/>
            <w:vAlign w:val="center"/>
          </w:tcPr>
          <w:p>
            <w:pPr>
              <w:spacing w:line="360" w:lineRule="auto"/>
              <w:jc w:val="center"/>
              <w:rPr>
                <w:rFonts w:ascii="宋体" w:hAnsi="宋体"/>
              </w:rPr>
            </w:pPr>
          </w:p>
        </w:tc>
        <w:tc>
          <w:tcPr>
            <w:tcW w:w="2415" w:type="dxa"/>
            <w:vAlign w:val="center"/>
          </w:tcPr>
          <w:p>
            <w:pPr>
              <w:spacing w:line="360" w:lineRule="auto"/>
              <w:jc w:val="center"/>
              <w:rPr>
                <w:rFonts w:ascii="宋体" w:hAnsi="宋体"/>
              </w:rPr>
            </w:pPr>
          </w:p>
        </w:tc>
        <w:tc>
          <w:tcPr>
            <w:tcW w:w="1671" w:type="dxa"/>
            <w:vAlign w:val="center"/>
          </w:tcPr>
          <w:p>
            <w:pPr>
              <w:spacing w:line="360"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6" w:type="dxa"/>
            <w:vAlign w:val="center"/>
          </w:tcPr>
          <w:p>
            <w:pPr>
              <w:spacing w:line="360" w:lineRule="auto"/>
              <w:jc w:val="center"/>
              <w:rPr>
                <w:rFonts w:ascii="宋体" w:hAnsi="宋体"/>
              </w:rPr>
            </w:pPr>
          </w:p>
        </w:tc>
        <w:tc>
          <w:tcPr>
            <w:tcW w:w="3553" w:type="dxa"/>
          </w:tcPr>
          <w:p>
            <w:pPr>
              <w:spacing w:line="360" w:lineRule="auto"/>
              <w:rPr>
                <w:rFonts w:ascii="宋体" w:hAnsi="宋体"/>
              </w:rPr>
            </w:pPr>
          </w:p>
        </w:tc>
        <w:tc>
          <w:tcPr>
            <w:tcW w:w="1421" w:type="dxa"/>
            <w:vAlign w:val="center"/>
          </w:tcPr>
          <w:p>
            <w:pPr>
              <w:spacing w:line="360" w:lineRule="auto"/>
              <w:jc w:val="center"/>
              <w:rPr>
                <w:rFonts w:ascii="宋体" w:hAnsi="宋体"/>
              </w:rPr>
            </w:pPr>
          </w:p>
        </w:tc>
        <w:tc>
          <w:tcPr>
            <w:tcW w:w="2415" w:type="dxa"/>
            <w:vAlign w:val="center"/>
          </w:tcPr>
          <w:p>
            <w:pPr>
              <w:spacing w:line="360" w:lineRule="auto"/>
              <w:jc w:val="center"/>
              <w:rPr>
                <w:rFonts w:ascii="宋体" w:hAnsi="宋体"/>
              </w:rPr>
            </w:pPr>
          </w:p>
        </w:tc>
        <w:tc>
          <w:tcPr>
            <w:tcW w:w="1671" w:type="dxa"/>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r>
        <w:rPr>
          <w:rFonts w:hint="eastAsia" w:ascii="宋体" w:hAnsi="宋体"/>
        </w:rPr>
        <w:t>备注：本表中“竞争性磋商文件条款描述”的条款与用户需求中的条款描述不一致的以用户需求中规定的为准，若有附件则附后页。</w:t>
      </w:r>
    </w:p>
    <w:p>
      <w:pPr>
        <w:spacing w:line="360" w:lineRule="auto"/>
        <w:rPr>
          <w:rFonts w:ascii="宋体" w:hAnsi="宋体"/>
        </w:rPr>
      </w:pPr>
    </w:p>
    <w:p>
      <w:pPr>
        <w:spacing w:line="360" w:lineRule="auto"/>
        <w:rPr>
          <w:rFonts w:ascii="宋体" w:hAnsi="宋体"/>
        </w:rPr>
      </w:pPr>
    </w:p>
    <w:p>
      <w:pPr>
        <w:spacing w:line="480" w:lineRule="auto"/>
        <w:rPr>
          <w:rFonts w:ascii="宋体" w:hAnsi="宋体" w:cs="宋体"/>
          <w:szCs w:val="21"/>
          <w:u w:val="single"/>
        </w:rPr>
      </w:pPr>
      <w:r>
        <w:rPr>
          <w:rFonts w:hint="eastAsia" w:ascii="宋体" w:hAnsi="宋体"/>
        </w:rPr>
        <w:t>响应供应商名称（盖公章）</w:t>
      </w:r>
      <w:r>
        <w:rPr>
          <w:rFonts w:hint="eastAsia" w:ascii="宋体" w:hAnsi="宋体" w:cs="宋体"/>
          <w:szCs w:val="21"/>
        </w:rPr>
        <w:t>：</w:t>
      </w:r>
      <w:r>
        <w:rPr>
          <w:rFonts w:hint="eastAsia" w:ascii="宋体" w:hAnsi="宋体" w:cs="宋体"/>
          <w:szCs w:val="21"/>
          <w:u w:val="single"/>
        </w:rPr>
        <w:t xml:space="preserve">                        </w:t>
      </w:r>
    </w:p>
    <w:p>
      <w:pPr>
        <w:spacing w:line="480" w:lineRule="auto"/>
      </w:pPr>
      <w:r>
        <w:rPr>
          <w:rFonts w:hint="eastAsia" w:ascii="宋体" w:hAnsi="宋体"/>
        </w:rPr>
        <w:t>法定代表人或响应供应商授权代表（签名或盖章）：</w:t>
      </w:r>
      <w:r>
        <w:rPr>
          <w:rFonts w:hint="eastAsia" w:ascii="宋体" w:hAnsi="宋体" w:cs="宋体"/>
          <w:szCs w:val="21"/>
          <w:u w:val="single"/>
        </w:rPr>
        <w:t xml:space="preserve">                   </w:t>
      </w:r>
    </w:p>
    <w:p>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rPr>
          <w:rFonts w:hint="eastAsia"/>
        </w:rPr>
      </w:pPr>
    </w:p>
    <w:p>
      <w:pPr>
        <w:pStyle w:val="6"/>
        <w:tabs>
          <w:tab w:val="clear" w:pos="864"/>
        </w:tabs>
        <w:ind w:left="0" w:firstLine="0"/>
        <w:rPr>
          <w:rFonts w:hint="eastAsia" w:ascii="宋体" w:hAnsi="宋体" w:eastAsia="宋体"/>
          <w:color w:val="auto"/>
        </w:rPr>
      </w:pPr>
    </w:p>
    <w:p>
      <w:pPr>
        <w:rPr>
          <w:rFonts w:hint="eastAsia" w:ascii="宋体" w:hAnsi="宋体" w:eastAsia="宋体"/>
          <w:color w:val="auto"/>
        </w:rPr>
      </w:pPr>
    </w:p>
    <w:p>
      <w:pPr>
        <w:pStyle w:val="7"/>
        <w:bidi w:val="0"/>
        <w:rPr>
          <w:rFonts w:hint="eastAsia"/>
        </w:rPr>
      </w:pPr>
    </w:p>
    <w:p>
      <w:pPr>
        <w:rPr>
          <w:rFonts w:hint="eastAsia"/>
        </w:rPr>
      </w:pPr>
    </w:p>
    <w:p>
      <w:pPr>
        <w:pStyle w:val="3"/>
        <w:spacing w:line="480" w:lineRule="exact"/>
        <w:rPr>
          <w:color w:val="auto"/>
          <w:sz w:val="32"/>
          <w:szCs w:val="32"/>
        </w:rPr>
      </w:pPr>
      <w:bookmarkStart w:id="22" w:name="_Hlt10456523"/>
      <w:bookmarkEnd w:id="22"/>
      <w:bookmarkStart w:id="23" w:name="_Toc42951057"/>
    </w:p>
    <w:p/>
    <w:p>
      <w:pPr>
        <w:pStyle w:val="3"/>
        <w:spacing w:line="480" w:lineRule="exact"/>
        <w:rPr>
          <w:color w:val="auto"/>
          <w:sz w:val="32"/>
          <w:szCs w:val="32"/>
        </w:rPr>
      </w:pPr>
      <w:r>
        <w:rPr>
          <w:rFonts w:hint="eastAsia"/>
          <w:color w:val="auto"/>
          <w:sz w:val="32"/>
          <w:szCs w:val="32"/>
          <w:lang w:val="en-US" w:eastAsia="zh-CN"/>
        </w:rPr>
        <w:t>7</w:t>
      </w:r>
      <w:r>
        <w:rPr>
          <w:rFonts w:hint="eastAsia"/>
          <w:color w:val="auto"/>
          <w:sz w:val="32"/>
          <w:szCs w:val="32"/>
        </w:rPr>
        <w:t>．服务费承诺书格式</w:t>
      </w:r>
      <w:bookmarkEnd w:id="23"/>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GDYX2021YB0005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w:t>
      </w:r>
      <w:r>
        <w:rPr>
          <w:rFonts w:hint="eastAsia" w:ascii="宋体"/>
          <w:color w:val="auto"/>
          <w:lang w:eastAsia="zh-CN"/>
        </w:rPr>
        <w:t>响应供应商</w:t>
      </w:r>
      <w:r>
        <w:rPr>
          <w:rFonts w:hint="eastAsia" w:ascii="宋体"/>
          <w:color w:val="auto"/>
        </w:rPr>
        <w:t>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lang w:eastAsia="zh-CN"/>
        </w:rPr>
        <w:t>响应供应商</w:t>
      </w:r>
      <w:r>
        <w:rPr>
          <w:rFonts w:hint="eastAsia" w:ascii="宋体"/>
          <w:color w:val="auto"/>
        </w:rPr>
        <w:t>法定名称（公章）；</w:t>
      </w:r>
    </w:p>
    <w:p>
      <w:pPr>
        <w:spacing w:line="480" w:lineRule="exact"/>
        <w:ind w:left="4700" w:leftChars="2238"/>
        <w:rPr>
          <w:rFonts w:ascii="宋体"/>
          <w:color w:val="auto"/>
        </w:rPr>
      </w:pPr>
      <w:r>
        <w:rPr>
          <w:rFonts w:hint="eastAsia" w:ascii="宋体"/>
          <w:color w:val="auto"/>
          <w:lang w:eastAsia="zh-CN"/>
        </w:rPr>
        <w:t>响应供应商</w:t>
      </w:r>
      <w:r>
        <w:rPr>
          <w:rFonts w:hint="eastAsia" w:ascii="宋体"/>
          <w:color w:val="auto"/>
        </w:rPr>
        <w:t>法定地址：</w:t>
      </w:r>
    </w:p>
    <w:p>
      <w:pPr>
        <w:spacing w:line="480" w:lineRule="exact"/>
        <w:ind w:left="4700" w:leftChars="2238"/>
        <w:rPr>
          <w:rFonts w:ascii="宋体"/>
          <w:color w:val="auto"/>
        </w:rPr>
      </w:pPr>
      <w:r>
        <w:rPr>
          <w:rFonts w:hint="eastAsia" w:ascii="宋体"/>
          <w:color w:val="auto"/>
          <w:lang w:eastAsia="zh-CN"/>
        </w:rPr>
        <w:t>响应供应商</w:t>
      </w:r>
      <w:r>
        <w:rPr>
          <w:rFonts w:hint="eastAsia" w:ascii="宋体"/>
          <w:color w:val="auto"/>
        </w:rPr>
        <w:t>授权代表（</w:t>
      </w:r>
      <w:r>
        <w:rPr>
          <w:rFonts w:hint="eastAsia" w:ascii="宋体"/>
          <w:color w:val="auto"/>
          <w:lang w:eastAsia="zh-CN"/>
        </w:rPr>
        <w:t>签字或盖章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FF0000"/>
          <w:sz w:val="32"/>
          <w:szCs w:val="32"/>
        </w:rPr>
      </w:pPr>
      <w:r>
        <w:rPr>
          <w:color w:val="auto"/>
        </w:rPr>
        <w:br w:type="page"/>
      </w:r>
      <w:bookmarkStart w:id="24" w:name="_Hlt10520073"/>
      <w:bookmarkEnd w:id="24"/>
      <w:bookmarkStart w:id="25" w:name="_Hlt10520032"/>
      <w:bookmarkEnd w:id="25"/>
      <w:bookmarkStart w:id="26" w:name="_Toc42951058"/>
      <w:r>
        <w:rPr>
          <w:rFonts w:hint="eastAsia"/>
          <w:color w:val="auto"/>
          <w:sz w:val="32"/>
          <w:szCs w:val="32"/>
          <w:lang w:val="en-US" w:eastAsia="zh-CN"/>
        </w:rPr>
        <w:t>8</w:t>
      </w:r>
      <w:r>
        <w:rPr>
          <w:rFonts w:hint="eastAsia"/>
          <w:color w:val="auto"/>
          <w:sz w:val="32"/>
          <w:szCs w:val="32"/>
        </w:rPr>
        <w:t>．其它资料格式</w:t>
      </w:r>
      <w:bookmarkEnd w:id="26"/>
    </w:p>
    <w:p>
      <w:pPr>
        <w:spacing w:line="360" w:lineRule="auto"/>
        <w:ind w:firstLine="210" w:firstLineChars="100"/>
        <w:rPr>
          <w:rFonts w:ascii="宋体"/>
          <w:color w:val="auto"/>
        </w:rPr>
      </w:pPr>
      <w:r>
        <w:rPr>
          <w:rFonts w:ascii="宋体"/>
          <w:color w:val="auto"/>
        </w:rPr>
        <w:t xml:space="preserve">9.1  </w:t>
      </w:r>
      <w:r>
        <w:rPr>
          <w:rFonts w:hint="eastAsia" w:ascii="宋体"/>
          <w:color w:val="auto"/>
          <w:lang w:eastAsia="zh-CN"/>
        </w:rPr>
        <w:t>响应供应商</w:t>
      </w:r>
      <w:r>
        <w:rPr>
          <w:rFonts w:hint="eastAsia" w:ascii="宋体"/>
          <w:color w:val="auto"/>
        </w:rPr>
        <w:t>简介；</w:t>
      </w:r>
    </w:p>
    <w:p>
      <w:pPr>
        <w:spacing w:line="360" w:lineRule="auto"/>
        <w:ind w:firstLine="210" w:firstLineChars="100"/>
        <w:rPr>
          <w:rFonts w:hint="eastAsia" w:ascii="宋体" w:eastAsia="宋体"/>
          <w:color w:val="auto"/>
          <w:lang w:eastAsia="zh-CN"/>
        </w:rPr>
      </w:pPr>
      <w:r>
        <w:rPr>
          <w:rFonts w:ascii="宋体"/>
          <w:color w:val="auto"/>
        </w:rPr>
        <w:t xml:space="preserve">9.2  </w:t>
      </w:r>
      <w:r>
        <w:rPr>
          <w:rFonts w:hint="eastAsia" w:ascii="宋体" w:hAnsi="宋体"/>
          <w:color w:val="auto"/>
          <w:szCs w:val="21"/>
        </w:rPr>
        <w:t>自2018年1月1日以来（以合同签订时间为准），投标人承接过县区或以上生态环境主管部门委托的建设项目环境影响评价技术评估工作的</w:t>
      </w:r>
      <w:r>
        <w:rPr>
          <w:rFonts w:hint="eastAsia" w:ascii="宋体" w:hAnsi="宋体"/>
          <w:color w:val="auto"/>
          <w:szCs w:val="21"/>
          <w:lang w:eastAsia="zh-CN"/>
        </w:rPr>
        <w:t>业绩</w:t>
      </w:r>
    </w:p>
    <w:p>
      <w:pPr>
        <w:spacing w:line="360" w:lineRule="auto"/>
        <w:rPr>
          <w:rFonts w:ascii="宋体"/>
          <w:color w:val="auto"/>
        </w:rPr>
      </w:pPr>
      <w:r>
        <w:rPr>
          <w:rFonts w:ascii="宋体"/>
          <w:color w:val="auto"/>
        </w:rPr>
        <w:t xml:space="preserve">  9.</w:t>
      </w:r>
      <w:r>
        <w:rPr>
          <w:rFonts w:hint="eastAsia" w:ascii="宋体"/>
          <w:color w:val="auto"/>
          <w:lang w:val="en-US" w:eastAsia="zh-CN"/>
        </w:rPr>
        <w:t>3</w:t>
      </w:r>
      <w:r>
        <w:rPr>
          <w:rFonts w:ascii="宋体"/>
          <w:color w:val="auto"/>
        </w:rPr>
        <w:t xml:space="preserve">  </w:t>
      </w:r>
      <w:r>
        <w:rPr>
          <w:rFonts w:hint="eastAsia" w:ascii="宋体"/>
          <w:color w:val="auto"/>
        </w:rPr>
        <w:t>关于诉讼。</w:t>
      </w:r>
    </w:p>
    <w:p>
      <w:pPr>
        <w:spacing w:line="360" w:lineRule="auto"/>
        <w:rPr>
          <w:rFonts w:ascii="宋体"/>
          <w:color w:val="auto"/>
        </w:rPr>
      </w:pPr>
      <w:r>
        <w:rPr>
          <w:rFonts w:ascii="宋体"/>
          <w:color w:val="auto"/>
        </w:rPr>
        <w:t xml:space="preserve">  9.</w:t>
      </w:r>
      <w:r>
        <w:rPr>
          <w:rFonts w:hint="eastAsia" w:ascii="宋体"/>
          <w:color w:val="auto"/>
          <w:lang w:val="en-US" w:eastAsia="zh-CN"/>
        </w:rPr>
        <w:t>4</w:t>
      </w:r>
      <w:r>
        <w:rPr>
          <w:rFonts w:ascii="宋体"/>
          <w:color w:val="auto"/>
        </w:rPr>
        <w:t xml:space="preserve">  </w:t>
      </w:r>
      <w:r>
        <w:rPr>
          <w:rFonts w:hint="eastAsia" w:ascii="宋体"/>
          <w:color w:val="auto"/>
        </w:rPr>
        <w:t>名称变更证明</w:t>
      </w:r>
    </w:p>
    <w:p>
      <w:pPr>
        <w:spacing w:line="360" w:lineRule="auto"/>
        <w:rPr>
          <w:rFonts w:ascii="宋体"/>
          <w:color w:val="auto"/>
        </w:rPr>
      </w:pPr>
      <w:r>
        <w:rPr>
          <w:rFonts w:ascii="宋体"/>
          <w:color w:val="auto"/>
        </w:rPr>
        <w:t xml:space="preserve">  9.</w:t>
      </w:r>
      <w:r>
        <w:rPr>
          <w:rFonts w:hint="eastAsia" w:ascii="宋体"/>
          <w:color w:val="auto"/>
          <w:lang w:val="en-US" w:eastAsia="zh-CN"/>
        </w:rPr>
        <w:t>5</w:t>
      </w:r>
      <w:r>
        <w:rPr>
          <w:rFonts w:ascii="宋体"/>
          <w:color w:val="auto"/>
        </w:rPr>
        <w:t xml:space="preserve">  </w:t>
      </w:r>
      <w:r>
        <w:rPr>
          <w:rFonts w:hint="eastAsia" w:ascii="宋体"/>
          <w:color w:val="auto"/>
          <w:lang w:eastAsia="zh-CN"/>
        </w:rPr>
        <w:t>响应供应商</w:t>
      </w:r>
      <w:r>
        <w:rPr>
          <w:rFonts w:hint="eastAsia" w:ascii="宋体"/>
          <w:color w:val="auto"/>
        </w:rPr>
        <w:t>获奖情况及质量认证</w:t>
      </w:r>
    </w:p>
    <w:p>
      <w:pPr>
        <w:spacing w:line="360" w:lineRule="auto"/>
        <w:ind w:firstLine="210" w:firstLineChars="100"/>
        <w:rPr>
          <w:rFonts w:ascii="宋体"/>
          <w:color w:val="auto"/>
        </w:rPr>
      </w:pPr>
      <w:r>
        <w:rPr>
          <w:rFonts w:ascii="宋体"/>
          <w:color w:val="auto"/>
        </w:rPr>
        <w:t>9.</w:t>
      </w:r>
      <w:r>
        <w:rPr>
          <w:rFonts w:hint="eastAsia" w:ascii="宋体"/>
          <w:color w:val="auto"/>
          <w:lang w:val="en-US" w:eastAsia="zh-CN"/>
        </w:rPr>
        <w:t>6</w:t>
      </w:r>
      <w:r>
        <w:rPr>
          <w:rFonts w:ascii="宋体"/>
          <w:color w:val="auto"/>
        </w:rPr>
        <w:t xml:space="preserve">  </w:t>
      </w:r>
      <w:r>
        <w:rPr>
          <w:rFonts w:hint="eastAsia" w:ascii="宋体"/>
          <w:color w:val="auto"/>
          <w:lang w:eastAsia="zh-CN"/>
        </w:rPr>
        <w:t>响应供应商</w:t>
      </w:r>
      <w:r>
        <w:rPr>
          <w:rFonts w:hint="eastAsia" w:ascii="宋体"/>
          <w:color w:val="auto"/>
        </w:rPr>
        <w:t>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lang w:eastAsia="zh-CN"/>
        </w:rPr>
        <w:t>响应供应商</w:t>
      </w:r>
      <w:r>
        <w:rPr>
          <w:rFonts w:hint="eastAsia" w:ascii="宋体"/>
          <w:b/>
          <w:color w:val="auto"/>
          <w:sz w:val="28"/>
          <w:szCs w:val="28"/>
        </w:rPr>
        <w:t>简介</w:t>
      </w:r>
    </w:p>
    <w:p>
      <w:pPr>
        <w:spacing w:line="480" w:lineRule="exact"/>
        <w:jc w:val="both"/>
        <w:rPr>
          <w:rFonts w:ascii="宋体"/>
          <w:color w:val="auto"/>
          <w:szCs w:val="21"/>
        </w:rPr>
      </w:pPr>
      <w:r>
        <w:rPr>
          <w:rFonts w:hint="eastAsia" w:ascii="宋体"/>
          <w:color w:val="auto"/>
          <w:szCs w:val="21"/>
          <w:lang w:eastAsia="zh-CN"/>
        </w:rPr>
        <w:t>响应供应商</w:t>
      </w:r>
      <w:r>
        <w:rPr>
          <w:rFonts w:hint="eastAsia" w:ascii="宋体"/>
          <w:color w:val="auto"/>
          <w:szCs w:val="21"/>
        </w:rPr>
        <w:t>简介（</w:t>
      </w:r>
      <w:r>
        <w:rPr>
          <w:rFonts w:hint="eastAsia" w:ascii="宋体"/>
          <w:color w:val="auto"/>
          <w:szCs w:val="21"/>
          <w:lang w:eastAsia="zh-CN"/>
        </w:rPr>
        <w:t>响应供应商</w:t>
      </w:r>
      <w:r>
        <w:rPr>
          <w:rFonts w:hint="eastAsia" w:ascii="宋体"/>
          <w:color w:val="auto"/>
          <w:szCs w:val="21"/>
        </w:rPr>
        <w:t>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w:t>
      </w:r>
      <w:r>
        <w:rPr>
          <w:rFonts w:hint="eastAsia" w:ascii="宋体" w:hAnsi="宋体"/>
          <w:b/>
          <w:color w:val="auto"/>
          <w:sz w:val="32"/>
          <w:szCs w:val="32"/>
          <w:lang w:eastAsia="zh-CN"/>
        </w:rPr>
        <w:t>响应供应商</w:t>
      </w:r>
      <w:r>
        <w:rPr>
          <w:rFonts w:hint="eastAsia" w:ascii="宋体" w:hAnsi="宋体"/>
          <w:b/>
          <w:color w:val="auto"/>
          <w:sz w:val="32"/>
          <w:szCs w:val="32"/>
        </w:rPr>
        <w:t>情况表</w:t>
      </w:r>
    </w:p>
    <w:tbl>
      <w:tblPr>
        <w:tblStyle w:val="28"/>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687"/>
        <w:gridCol w:w="1649"/>
        <w:gridCol w:w="17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5"/>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5"/>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vAlign w:val="center"/>
          </w:tcPr>
          <w:p>
            <w:pPr>
              <w:tabs>
                <w:tab w:val="left" w:pos="540"/>
              </w:tabs>
              <w:ind w:left="-132" w:leftChars="-64" w:right="-105" w:rightChars="-50" w:hanging="2"/>
              <w:jc w:val="center"/>
              <w:rPr>
                <w:rFonts w:ascii="宋体"/>
                <w:color w:val="auto"/>
                <w:szCs w:val="21"/>
              </w:rPr>
            </w:pPr>
          </w:p>
        </w:tc>
        <w:tc>
          <w:tcPr>
            <w:tcW w:w="1792"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vAlign w:val="center"/>
          </w:tcPr>
          <w:p>
            <w:pPr>
              <w:tabs>
                <w:tab w:val="left" w:pos="540"/>
              </w:tabs>
              <w:ind w:left="-132" w:leftChars="-64" w:right="-105" w:rightChars="-50" w:hanging="2"/>
              <w:jc w:val="center"/>
              <w:rPr>
                <w:rFonts w:ascii="宋体"/>
                <w:color w:val="auto"/>
                <w:szCs w:val="21"/>
              </w:rPr>
            </w:pPr>
          </w:p>
        </w:tc>
        <w:tc>
          <w:tcPr>
            <w:tcW w:w="1792"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vAlign w:val="center"/>
          </w:tcPr>
          <w:p>
            <w:pPr>
              <w:tabs>
                <w:tab w:val="left" w:pos="540"/>
              </w:tabs>
              <w:ind w:left="-132" w:leftChars="-64" w:right="-105" w:rightChars="-50" w:hanging="2"/>
              <w:jc w:val="center"/>
              <w:rPr>
                <w:rFonts w:ascii="宋体"/>
                <w:color w:val="auto"/>
                <w:szCs w:val="21"/>
              </w:rPr>
            </w:pPr>
          </w:p>
        </w:tc>
        <w:tc>
          <w:tcPr>
            <w:tcW w:w="1792"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5"/>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5"/>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lang w:eastAsia="zh-CN"/>
        </w:rPr>
        <w:t>自2018年1月1日以来（以合同签订时间为准），投标人承接过县区或以上生态环境主管部门委托的建设项目环境影响评价技术评估工作的业绩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8"/>
        <w:tblW w:w="8618" w:type="dxa"/>
        <w:tblInd w:w="30" w:type="dxa"/>
        <w:tblLayout w:type="fixed"/>
        <w:tblCellMar>
          <w:top w:w="0" w:type="dxa"/>
          <w:left w:w="30" w:type="dxa"/>
          <w:bottom w:w="0" w:type="dxa"/>
          <w:right w:w="30" w:type="dxa"/>
        </w:tblCellMar>
      </w:tblPr>
      <w:tblGrid>
        <w:gridCol w:w="703"/>
        <w:gridCol w:w="1935"/>
        <w:gridCol w:w="1583"/>
        <w:gridCol w:w="1583"/>
        <w:gridCol w:w="1407"/>
        <w:gridCol w:w="1407"/>
      </w:tblGrid>
      <w:tr>
        <w:tblPrEx>
          <w:tblCellMar>
            <w:top w:w="0" w:type="dxa"/>
            <w:left w:w="30" w:type="dxa"/>
            <w:bottom w:w="0" w:type="dxa"/>
            <w:right w:w="30" w:type="dxa"/>
          </w:tblCellMar>
        </w:tblPrEx>
        <w:trPr>
          <w:trHeight w:val="529" w:hRule="atLeast"/>
        </w:trPr>
        <w:tc>
          <w:tcPr>
            <w:tcW w:w="703"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935"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58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58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407"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407"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10" w:hRule="atLeast"/>
        </w:trPr>
        <w:tc>
          <w:tcPr>
            <w:tcW w:w="703"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5"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6"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5"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5"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6"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5"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15" w:hRule="atLeast"/>
        </w:trPr>
        <w:tc>
          <w:tcPr>
            <w:tcW w:w="703"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45" w:hRule="atLeast"/>
        </w:trPr>
        <w:tc>
          <w:tcPr>
            <w:tcW w:w="703"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935"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58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407"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自2018年1月1日以来（以合同签订时间为准），投标人承接过县区或以上生态环境主管部门委托的建设项目环境影响评价技术评估工作的</w:t>
      </w:r>
      <w:r>
        <w:rPr>
          <w:rFonts w:hint="eastAsia" w:ascii="宋体"/>
          <w:color w:val="auto"/>
          <w:lang w:eastAsia="zh-CN"/>
        </w:rPr>
        <w:t>业绩</w:t>
      </w:r>
      <w:r>
        <w:rPr>
          <w:rFonts w:hint="eastAsia" w:ascii="宋体"/>
          <w:color w:val="auto"/>
        </w:rPr>
        <w:t>；</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须同时提供与环境保护主管部门签订的合同复印件，加盖投标人公章。</w:t>
      </w:r>
    </w:p>
    <w:p>
      <w:pPr>
        <w:spacing w:line="480" w:lineRule="exact"/>
        <w:rPr>
          <w:rFonts w:ascii="宋体"/>
          <w:b/>
          <w:color w:val="auto"/>
          <w:sz w:val="28"/>
          <w:szCs w:val="28"/>
        </w:rPr>
      </w:pP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 xml:space="preserve">3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lang w:eastAsia="zh-CN"/>
        </w:rPr>
        <w:t>响应供应商</w:t>
      </w:r>
      <w:r>
        <w:rPr>
          <w:rFonts w:hint="eastAsia" w:ascii="宋体"/>
          <w:color w:val="auto"/>
        </w:rPr>
        <w:t>应说明近</w:t>
      </w:r>
      <w:r>
        <w:rPr>
          <w:rFonts w:ascii="宋体"/>
          <w:color w:val="auto"/>
          <w:u w:val="single"/>
        </w:rPr>
        <w:t xml:space="preserve"> 3 </w:t>
      </w:r>
      <w:r>
        <w:rPr>
          <w:rFonts w:hint="eastAsia" w:ascii="宋体"/>
          <w:color w:val="auto"/>
        </w:rPr>
        <w:t>年在经营活动及政府采购活动中发生的由于</w:t>
      </w:r>
      <w:r>
        <w:rPr>
          <w:rFonts w:hint="eastAsia" w:ascii="宋体"/>
          <w:color w:val="auto"/>
          <w:lang w:eastAsia="zh-CN"/>
        </w:rPr>
        <w:t>响应供应商</w:t>
      </w:r>
      <w:r>
        <w:rPr>
          <w:rFonts w:hint="eastAsia" w:ascii="宋体"/>
          <w:color w:val="auto"/>
        </w:rPr>
        <w:t>违约或部分违约而引起的诉讼和索赔案件的具体情况及结果。若</w:t>
      </w:r>
      <w:r>
        <w:rPr>
          <w:rFonts w:hint="eastAsia" w:ascii="宋体"/>
          <w:color w:val="auto"/>
          <w:lang w:eastAsia="zh-CN"/>
        </w:rPr>
        <w:t>响应供应商</w:t>
      </w:r>
      <w:r>
        <w:rPr>
          <w:rFonts w:hint="eastAsia" w:ascii="宋体"/>
          <w:color w:val="auto"/>
        </w:rPr>
        <w:t>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4</w:t>
      </w:r>
      <w:r>
        <w:rPr>
          <w:rFonts w:ascii="宋体"/>
          <w:b/>
          <w:color w:val="auto"/>
          <w:sz w:val="28"/>
          <w:szCs w:val="28"/>
        </w:rPr>
        <w:t xml:space="preserve">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w:t>
      </w:r>
      <w:r>
        <w:rPr>
          <w:rFonts w:hint="eastAsia" w:ascii="宋体"/>
          <w:color w:val="auto"/>
          <w:lang w:eastAsia="zh-CN"/>
        </w:rPr>
        <w:t>响应供应商</w:t>
      </w:r>
      <w:r>
        <w:rPr>
          <w:rFonts w:hint="eastAsia" w:ascii="宋体"/>
          <w:color w:val="auto"/>
        </w:rPr>
        <w:t>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5</w:t>
      </w:r>
      <w:r>
        <w:rPr>
          <w:rFonts w:ascii="宋体"/>
          <w:b/>
          <w:color w:val="auto"/>
          <w:sz w:val="28"/>
          <w:szCs w:val="28"/>
        </w:rPr>
        <w:t xml:space="preserve">  </w:t>
      </w:r>
      <w:r>
        <w:rPr>
          <w:rFonts w:hint="eastAsia" w:ascii="宋体"/>
          <w:b/>
          <w:color w:val="auto"/>
          <w:sz w:val="28"/>
          <w:szCs w:val="28"/>
          <w:lang w:eastAsia="zh-CN"/>
        </w:rPr>
        <w:t>响应供应商</w:t>
      </w:r>
      <w:r>
        <w:rPr>
          <w:rFonts w:hint="eastAsia" w:ascii="宋体"/>
          <w:b/>
          <w:color w:val="auto"/>
          <w:sz w:val="28"/>
          <w:szCs w:val="28"/>
        </w:rPr>
        <w:t>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6</w:t>
      </w:r>
      <w:r>
        <w:rPr>
          <w:rFonts w:ascii="宋体"/>
          <w:b/>
          <w:color w:val="auto"/>
          <w:sz w:val="28"/>
          <w:szCs w:val="28"/>
        </w:rPr>
        <w:t xml:space="preserve">  </w:t>
      </w:r>
      <w:r>
        <w:rPr>
          <w:rFonts w:hint="eastAsia" w:ascii="宋体"/>
          <w:b/>
          <w:color w:val="auto"/>
          <w:sz w:val="28"/>
          <w:szCs w:val="28"/>
          <w:lang w:eastAsia="zh-CN"/>
        </w:rPr>
        <w:t>响应供应商</w:t>
      </w:r>
      <w:r>
        <w:rPr>
          <w:rFonts w:hint="eastAsia" w:ascii="宋体"/>
          <w:b/>
          <w:color w:val="auto"/>
          <w:sz w:val="28"/>
          <w:szCs w:val="28"/>
        </w:rPr>
        <w:t>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b/>
          <w:color w:val="auto"/>
          <w:sz w:val="24"/>
        </w:rPr>
        <w:br w:type="page"/>
      </w:r>
      <w:bookmarkStart w:id="27" w:name="_Hlt10462379"/>
      <w:bookmarkEnd w:id="27"/>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技</w:t>
      </w:r>
      <w:r>
        <w:rPr>
          <w:rFonts w:hint="eastAsia"/>
          <w:b/>
          <w:color w:val="auto"/>
          <w:sz w:val="44"/>
          <w:szCs w:val="44"/>
          <w:lang w:val="en-US" w:eastAsia="zh-CN"/>
        </w:rPr>
        <w:t xml:space="preserve"> </w:t>
      </w:r>
      <w:r>
        <w:rPr>
          <w:rFonts w:hint="eastAsia"/>
          <w:b/>
          <w:color w:val="auto"/>
          <w:sz w:val="44"/>
          <w:szCs w:val="44"/>
          <w:lang w:eastAsia="zh-CN"/>
        </w:rPr>
        <w:t>术</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spacing w:line="480" w:lineRule="exact"/>
        <w:jc w:val="both"/>
        <w:rPr>
          <w:rFonts w:hAnsi="宋体"/>
          <w:bCs/>
          <w:color w:val="auto"/>
        </w:rPr>
      </w:pPr>
      <w:bookmarkStart w:id="28" w:name="_Hlt10523647"/>
      <w:bookmarkEnd w:id="28"/>
      <w:bookmarkStart w:id="29" w:name="_Hlt10520028"/>
      <w:bookmarkEnd w:id="29"/>
      <w:bookmarkStart w:id="30" w:name="_Toc42956284"/>
      <w:bookmarkStart w:id="31" w:name="_Toc4471859"/>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 </w:t>
      </w:r>
      <w:r>
        <w:rPr>
          <w:rFonts w:hint="eastAsia" w:ascii="宋体" w:hAnsi="宋体"/>
          <w:b/>
          <w:color w:val="auto"/>
          <w:sz w:val="32"/>
          <w:szCs w:val="32"/>
          <w:lang w:eastAsia="zh-CN"/>
        </w:rPr>
        <w:t>服务</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numPr>
          <w:ilvl w:val="0"/>
          <w:numId w:val="19"/>
        </w:numPr>
        <w:spacing w:line="360" w:lineRule="auto"/>
        <w:ind w:firstLine="403" w:firstLineChars="192"/>
        <w:rPr>
          <w:rFonts w:hint="eastAsia" w:hAnsi="宋体"/>
          <w:color w:val="auto"/>
          <w:szCs w:val="21"/>
          <w:lang w:eastAsia="zh-CN"/>
        </w:rPr>
      </w:pPr>
      <w:r>
        <w:rPr>
          <w:rFonts w:hint="eastAsia" w:hAnsi="宋体"/>
          <w:color w:val="auto"/>
          <w:szCs w:val="21"/>
          <w:lang w:eastAsia="zh-CN"/>
        </w:rPr>
        <w:t>项目组织实施方案；</w:t>
      </w:r>
    </w:p>
    <w:p>
      <w:pPr>
        <w:pStyle w:val="15"/>
        <w:numPr>
          <w:ilvl w:val="0"/>
          <w:numId w:val="19"/>
        </w:numPr>
        <w:spacing w:line="360" w:lineRule="auto"/>
        <w:ind w:firstLine="403" w:firstLineChars="192"/>
        <w:rPr>
          <w:rFonts w:hint="eastAsia" w:hAnsi="宋体"/>
          <w:color w:val="auto"/>
          <w:szCs w:val="21"/>
          <w:lang w:eastAsia="zh-CN"/>
        </w:rPr>
      </w:pPr>
      <w:r>
        <w:rPr>
          <w:rFonts w:hint="eastAsia" w:hAnsi="宋体"/>
          <w:color w:val="auto"/>
          <w:szCs w:val="21"/>
          <w:lang w:eastAsia="zh-CN"/>
        </w:rPr>
        <w:t>质量保证措施；</w:t>
      </w:r>
    </w:p>
    <w:p>
      <w:pPr>
        <w:numPr>
          <w:ilvl w:val="0"/>
          <w:numId w:val="19"/>
        </w:numPr>
        <w:ind w:left="0" w:leftChars="0" w:firstLine="403" w:firstLineChars="192"/>
        <w:rPr>
          <w:rFonts w:hint="default"/>
          <w:lang w:val="en-US" w:eastAsia="zh-CN"/>
        </w:rPr>
      </w:pPr>
      <w:r>
        <w:rPr>
          <w:rFonts w:hint="default"/>
          <w:lang w:val="en-US" w:eastAsia="zh-CN"/>
        </w:rPr>
        <w:t>进度控制措施</w:t>
      </w: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lang w:eastAsia="zh-CN"/>
        </w:rPr>
        <w:t>响应供应商</w:t>
      </w:r>
      <w:r>
        <w:rPr>
          <w:rFonts w:hint="eastAsia" w:ascii="宋体"/>
          <w:color w:val="auto"/>
        </w:rPr>
        <w:t>（公章）：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hint="eastAsia" w:ascii="宋体" w:eastAsia="宋体"/>
          <w:color w:val="auto"/>
          <w:lang w:eastAsia="zh-CN"/>
        </w:rPr>
        <w:sectPr>
          <w:headerReference r:id="rId17" w:type="default"/>
          <w:footerReference r:id="rId18" w:type="default"/>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r>
        <w:rPr>
          <w:rFonts w:hint="eastAsia"/>
          <w:color w:val="auto"/>
          <w:lang w:eastAsia="zh-CN"/>
        </w:rPr>
        <w:t>：</w:t>
      </w:r>
    </w:p>
    <w:bookmarkEnd w:id="30"/>
    <w:bookmarkEnd w:id="31"/>
    <w:p>
      <w:pPr>
        <w:spacing w:line="480" w:lineRule="exact"/>
        <w:rPr>
          <w:rFonts w:ascii="宋体" w:hAnsi="宋体"/>
          <w:b/>
          <w:color w:val="auto"/>
          <w:sz w:val="28"/>
          <w:szCs w:val="28"/>
        </w:rPr>
      </w:pPr>
      <w:bookmarkStart w:id="32" w:name="_Toc42956290"/>
      <w:r>
        <w:rPr>
          <w:rFonts w:ascii="宋体" w:hAnsi="宋体"/>
          <w:b/>
          <w:color w:val="auto"/>
          <w:sz w:val="28"/>
          <w:szCs w:val="28"/>
        </w:rPr>
        <w:t>1</w:t>
      </w:r>
      <w:r>
        <w:rPr>
          <w:rFonts w:hint="eastAsia" w:ascii="宋体" w:hAnsi="宋体"/>
          <w:b/>
          <w:color w:val="auto"/>
          <w:sz w:val="28"/>
          <w:szCs w:val="28"/>
          <w:lang w:val="en-US" w:eastAsia="zh-CN"/>
        </w:rPr>
        <w:t>1.项目负责人及服务团队成员一览表</w:t>
      </w:r>
      <w:r>
        <w:rPr>
          <w:rFonts w:ascii="宋体" w:hAnsi="宋体"/>
          <w:b/>
          <w:color w:val="auto"/>
          <w:sz w:val="28"/>
          <w:szCs w:val="28"/>
        </w:rPr>
        <w:t xml:space="preserve"> </w:t>
      </w:r>
    </w:p>
    <w:p>
      <w:pPr>
        <w:spacing w:line="480" w:lineRule="exact"/>
        <w:rPr>
          <w:rFonts w:ascii="宋体" w:hAnsi="宋体"/>
          <w:b/>
          <w:color w:val="auto"/>
          <w:sz w:val="28"/>
          <w:szCs w:val="28"/>
        </w:rPr>
      </w:pPr>
    </w:p>
    <w:tbl>
      <w:tblPr>
        <w:tblStyle w:val="28"/>
        <w:tblpPr w:leftFromText="180" w:rightFromText="180" w:vertAnchor="text" w:horzAnchor="page" w:tblpX="1309"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6"/>
        <w:gridCol w:w="1670"/>
        <w:gridCol w:w="1042"/>
        <w:gridCol w:w="1042"/>
        <w:gridCol w:w="1204"/>
        <w:gridCol w:w="140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4" w:hRule="exact"/>
        </w:trPr>
        <w:tc>
          <w:tcPr>
            <w:tcW w:w="826" w:type="dxa"/>
            <w:shd w:val="clear" w:color="auto" w:fill="FFFFFF"/>
            <w:noWrap w:val="0"/>
            <w:vAlign w:val="center"/>
          </w:tcPr>
          <w:p>
            <w:pPr>
              <w:spacing w:after="6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序号</w:t>
            </w:r>
          </w:p>
        </w:tc>
        <w:tc>
          <w:tcPr>
            <w:tcW w:w="1670" w:type="dxa"/>
            <w:shd w:val="clear" w:color="auto" w:fill="FFFFFF"/>
            <w:noWrap w:val="0"/>
            <w:vAlign w:val="center"/>
          </w:tcPr>
          <w:p>
            <w:pPr>
              <w:spacing w:after="6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姓名</w:t>
            </w:r>
          </w:p>
        </w:tc>
        <w:tc>
          <w:tcPr>
            <w:tcW w:w="1042" w:type="dxa"/>
            <w:shd w:val="clear" w:color="auto" w:fill="FFFFFF"/>
            <w:noWrap w:val="0"/>
            <w:vAlign w:val="center"/>
          </w:tcPr>
          <w:p>
            <w:pPr>
              <w:spacing w:after="6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性别</w:t>
            </w:r>
          </w:p>
        </w:tc>
        <w:tc>
          <w:tcPr>
            <w:tcW w:w="1042" w:type="dxa"/>
            <w:shd w:val="clear" w:color="auto" w:fill="FFFFFF"/>
            <w:noWrap w:val="0"/>
            <w:vAlign w:val="center"/>
          </w:tcPr>
          <w:p>
            <w:pPr>
              <w:spacing w:after="6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年龄</w:t>
            </w:r>
          </w:p>
        </w:tc>
        <w:tc>
          <w:tcPr>
            <w:tcW w:w="1204" w:type="dxa"/>
            <w:shd w:val="clear" w:color="auto" w:fill="FFFFFF"/>
            <w:noWrap w:val="0"/>
            <w:vAlign w:val="center"/>
          </w:tcPr>
          <w:p>
            <w:pPr>
              <w:spacing w:after="6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学历</w:t>
            </w:r>
          </w:p>
        </w:tc>
        <w:tc>
          <w:tcPr>
            <w:tcW w:w="1400" w:type="dxa"/>
            <w:shd w:val="clear" w:color="auto" w:fill="FFFFFF"/>
            <w:noWrap w:val="0"/>
            <w:vAlign w:val="center"/>
          </w:tcPr>
          <w:p>
            <w:pPr>
              <w:spacing w:after="6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专业</w:t>
            </w:r>
          </w:p>
        </w:tc>
        <w:tc>
          <w:tcPr>
            <w:tcW w:w="1953" w:type="dxa"/>
            <w:shd w:val="clear" w:color="auto" w:fill="FFFFFF"/>
            <w:noWrap w:val="0"/>
            <w:vAlign w:val="center"/>
          </w:tcPr>
          <w:p>
            <w:pPr>
              <w:spacing w:after="60"/>
              <w:ind w:firstLine="1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拟担任职务或</w:t>
            </w:r>
          </w:p>
          <w:p>
            <w:pPr>
              <w:spacing w:after="60"/>
              <w:ind w:firstLine="1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826"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pStyle w:val="62"/>
              <w:keepNext w:val="0"/>
              <w:adjustRightInd/>
              <w:spacing w:before="0" w:after="0" w:line="240" w:lineRule="auto"/>
              <w:rPr>
                <w:rFonts w:hint="eastAsia" w:ascii="宋体" w:hAnsi="宋体" w:eastAsia="宋体" w:cs="宋体"/>
                <w:color w:val="auto"/>
                <w:spacing w:val="0"/>
                <w:kern w:val="2"/>
                <w:szCs w:val="24"/>
                <w:highlight w:val="none"/>
              </w:rPr>
            </w:pPr>
          </w:p>
        </w:tc>
        <w:tc>
          <w:tcPr>
            <w:tcW w:w="1204" w:type="dxa"/>
            <w:shd w:val="clear" w:color="auto" w:fill="FFFFFF"/>
            <w:noWrap w:val="0"/>
            <w:vAlign w:val="center"/>
          </w:tcPr>
          <w:p>
            <w:pPr>
              <w:pStyle w:val="62"/>
              <w:keepNext w:val="0"/>
              <w:adjustRightInd/>
              <w:spacing w:before="0" w:after="0" w:line="240" w:lineRule="auto"/>
              <w:rPr>
                <w:rFonts w:hint="eastAsia" w:ascii="宋体" w:hAnsi="宋体" w:eastAsia="宋体" w:cs="宋体"/>
                <w:color w:val="auto"/>
                <w:spacing w:val="0"/>
                <w:kern w:val="2"/>
                <w:szCs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ind w:firstLine="12"/>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6" w:type="dxa"/>
            <w:shd w:val="clear" w:color="auto" w:fill="FFFFFF"/>
            <w:noWrap w:val="0"/>
            <w:vAlign w:val="center"/>
          </w:tcPr>
          <w:p>
            <w:pPr>
              <w:spacing w:after="60"/>
              <w:rPr>
                <w:rFonts w:hint="eastAsia" w:ascii="宋体" w:hAnsi="宋体" w:eastAsia="宋体" w:cs="宋体"/>
                <w:color w:val="auto"/>
                <w:spacing w:val="-20"/>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spacing w:after="60"/>
              <w:jc w:val="center"/>
              <w:rPr>
                <w:rFonts w:hint="eastAsia" w:ascii="宋体" w:hAnsi="宋体" w:eastAsia="宋体" w:cs="宋体"/>
                <w:color w:val="auto"/>
                <w:sz w:val="24"/>
                <w:highlight w:val="none"/>
              </w:rPr>
            </w:pPr>
          </w:p>
        </w:tc>
        <w:tc>
          <w:tcPr>
            <w:tcW w:w="1204"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6" w:type="dxa"/>
            <w:shd w:val="clear" w:color="auto" w:fill="FFFFFF"/>
            <w:noWrap w:val="0"/>
            <w:vAlign w:val="center"/>
          </w:tcPr>
          <w:p>
            <w:pPr>
              <w:spacing w:after="60"/>
              <w:rPr>
                <w:rFonts w:hint="eastAsia" w:ascii="宋体" w:hAnsi="宋体" w:eastAsia="宋体" w:cs="宋体"/>
                <w:color w:val="auto"/>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spacing w:after="60"/>
              <w:jc w:val="center"/>
              <w:rPr>
                <w:rFonts w:hint="eastAsia" w:ascii="宋体" w:hAnsi="宋体" w:eastAsia="宋体" w:cs="宋体"/>
                <w:color w:val="auto"/>
                <w:sz w:val="24"/>
                <w:highlight w:val="none"/>
              </w:rPr>
            </w:pPr>
          </w:p>
        </w:tc>
        <w:tc>
          <w:tcPr>
            <w:tcW w:w="1204"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6" w:type="dxa"/>
            <w:shd w:val="clear" w:color="auto" w:fill="FFFFFF"/>
            <w:noWrap w:val="0"/>
            <w:vAlign w:val="center"/>
          </w:tcPr>
          <w:p>
            <w:pPr>
              <w:spacing w:after="60"/>
              <w:rPr>
                <w:rFonts w:hint="eastAsia" w:ascii="宋体" w:hAnsi="宋体" w:eastAsia="宋体" w:cs="宋体"/>
                <w:color w:val="auto"/>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spacing w:after="60"/>
              <w:jc w:val="center"/>
              <w:rPr>
                <w:rFonts w:hint="eastAsia" w:ascii="宋体" w:hAnsi="宋体" w:eastAsia="宋体" w:cs="宋体"/>
                <w:color w:val="auto"/>
                <w:sz w:val="24"/>
                <w:highlight w:val="none"/>
              </w:rPr>
            </w:pPr>
          </w:p>
        </w:tc>
        <w:tc>
          <w:tcPr>
            <w:tcW w:w="1204"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6"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spacing w:after="60"/>
              <w:jc w:val="center"/>
              <w:rPr>
                <w:rFonts w:hint="eastAsia" w:ascii="宋体" w:hAnsi="宋体" w:eastAsia="宋体" w:cs="宋体"/>
                <w:color w:val="auto"/>
                <w:sz w:val="24"/>
                <w:highlight w:val="none"/>
              </w:rPr>
            </w:pPr>
          </w:p>
        </w:tc>
        <w:tc>
          <w:tcPr>
            <w:tcW w:w="1204"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826"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670" w:type="dxa"/>
            <w:shd w:val="clear" w:color="auto" w:fill="FFFFFF"/>
            <w:noWrap w:val="0"/>
            <w:vAlign w:val="center"/>
          </w:tcPr>
          <w:p>
            <w:pPr>
              <w:spacing w:after="60"/>
              <w:jc w:val="cente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tc>
        <w:tc>
          <w:tcPr>
            <w:tcW w:w="1042"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042" w:type="dxa"/>
            <w:shd w:val="clear" w:color="auto" w:fill="FFFFFF"/>
            <w:noWrap w:val="0"/>
            <w:vAlign w:val="top"/>
          </w:tcPr>
          <w:p>
            <w:pPr>
              <w:spacing w:after="60"/>
              <w:jc w:val="center"/>
              <w:rPr>
                <w:rFonts w:hint="eastAsia" w:ascii="宋体" w:hAnsi="宋体" w:eastAsia="宋体" w:cs="宋体"/>
                <w:color w:val="auto"/>
                <w:sz w:val="24"/>
                <w:highlight w:val="none"/>
              </w:rPr>
            </w:pPr>
          </w:p>
        </w:tc>
        <w:tc>
          <w:tcPr>
            <w:tcW w:w="1204"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400" w:type="dxa"/>
            <w:shd w:val="clear" w:color="auto" w:fill="FFFFFF"/>
            <w:noWrap w:val="0"/>
            <w:vAlign w:val="center"/>
          </w:tcPr>
          <w:p>
            <w:pPr>
              <w:spacing w:after="60"/>
              <w:jc w:val="center"/>
              <w:rPr>
                <w:rFonts w:hint="eastAsia" w:ascii="宋体" w:hAnsi="宋体" w:eastAsia="宋体" w:cs="宋体"/>
                <w:color w:val="auto"/>
                <w:sz w:val="24"/>
                <w:highlight w:val="none"/>
              </w:rPr>
            </w:pPr>
          </w:p>
        </w:tc>
        <w:tc>
          <w:tcPr>
            <w:tcW w:w="1953" w:type="dxa"/>
            <w:shd w:val="clear" w:color="auto" w:fill="FFFFFF"/>
            <w:noWrap w:val="0"/>
            <w:vAlign w:val="center"/>
          </w:tcPr>
          <w:p>
            <w:pPr>
              <w:spacing w:after="60"/>
              <w:jc w:val="center"/>
              <w:rPr>
                <w:rFonts w:hint="eastAsia" w:ascii="宋体" w:hAnsi="宋体" w:eastAsia="宋体" w:cs="宋体"/>
                <w:color w:val="auto"/>
                <w:sz w:val="24"/>
                <w:highlight w:val="none"/>
              </w:rPr>
            </w:pPr>
          </w:p>
        </w:tc>
      </w:tr>
    </w:tbl>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ind w:firstLine="403"/>
        <w:rPr>
          <w:rFonts w:ascii="宋体"/>
          <w:color w:val="auto"/>
        </w:rPr>
      </w:pPr>
    </w:p>
    <w:p>
      <w:pPr>
        <w:spacing w:line="360" w:lineRule="auto"/>
        <w:jc w:val="both"/>
        <w:rPr>
          <w:rFonts w:ascii="宋体"/>
          <w:bCs/>
          <w:color w:val="auto"/>
        </w:rPr>
      </w:pPr>
      <w:r>
        <w:rPr>
          <w:rFonts w:hint="eastAsia" w:ascii="宋体"/>
          <w:bCs/>
          <w:color w:val="auto"/>
          <w:lang w:eastAsia="zh-CN"/>
        </w:rPr>
        <w:t>响应供应商</w:t>
      </w:r>
      <w:r>
        <w:rPr>
          <w:rFonts w:hint="eastAsia" w:ascii="宋体"/>
          <w:bCs/>
          <w:color w:val="auto"/>
        </w:rPr>
        <w:t>（公章）：</w:t>
      </w:r>
    </w:p>
    <w:p>
      <w:pPr>
        <w:spacing w:line="360" w:lineRule="auto"/>
        <w:rPr>
          <w:rFonts w:ascii="宋体"/>
          <w:bCs/>
          <w:color w:val="auto"/>
        </w:rPr>
      </w:pPr>
    </w:p>
    <w:p>
      <w:pPr>
        <w:spacing w:line="360" w:lineRule="auto"/>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spacing w:line="440" w:lineRule="exact"/>
        <w:rPr>
          <w:rFonts w:hint="eastAsia" w:ascii="宋体" w:hAnsi="宋体" w:eastAsia="宋体" w:cs="宋体"/>
          <w:color w:val="auto"/>
          <w:spacing w:val="4"/>
          <w:highlight w:val="none"/>
        </w:rPr>
      </w:pPr>
      <w:r>
        <w:rPr>
          <w:rFonts w:hint="eastAsia" w:ascii="宋体" w:hAnsi="宋体" w:eastAsia="宋体" w:cs="宋体"/>
          <w:color w:val="auto"/>
          <w:spacing w:val="4"/>
          <w:highlight w:val="none"/>
          <w:u w:val="single"/>
        </w:rPr>
        <w:t xml:space="preserve">                 </w:t>
      </w: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hAnsi="宋体"/>
          <w:b/>
          <w:color w:val="auto"/>
          <w:sz w:val="28"/>
          <w:szCs w:val="28"/>
        </w:rPr>
      </w:pPr>
    </w:p>
    <w:p>
      <w:pPr>
        <w:spacing w:line="480" w:lineRule="exact"/>
        <w:rPr>
          <w:rFonts w:ascii="宋体"/>
          <w:b/>
          <w:color w:val="auto"/>
          <w:sz w:val="28"/>
          <w:szCs w:val="28"/>
        </w:rPr>
      </w:pPr>
      <w:r>
        <w:rPr>
          <w:rFonts w:hint="eastAsia" w:ascii="宋体" w:hAnsi="宋体"/>
          <w:b/>
          <w:color w:val="auto"/>
          <w:sz w:val="28"/>
          <w:szCs w:val="28"/>
          <w:lang w:val="en-US" w:eastAsia="zh-CN"/>
        </w:rPr>
        <w:t>12.</w:t>
      </w:r>
      <w:r>
        <w:rPr>
          <w:rFonts w:hint="eastAsia" w:ascii="宋体" w:hAnsi="宋体"/>
          <w:b/>
          <w:color w:val="auto"/>
          <w:sz w:val="28"/>
          <w:szCs w:val="28"/>
        </w:rPr>
        <w:t>采购人配合条件</w:t>
      </w:r>
      <w:bookmarkEnd w:id="32"/>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w:t>
      </w:r>
      <w:r>
        <w:rPr>
          <w:rFonts w:hint="eastAsia"/>
          <w:color w:val="auto"/>
          <w:lang w:eastAsia="zh-CN"/>
        </w:rPr>
        <w:t>响应供应商</w:t>
      </w:r>
      <w:r>
        <w:rPr>
          <w:rFonts w:hint="eastAsia"/>
          <w:color w:val="auto"/>
        </w:rPr>
        <w:t>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lang w:eastAsia="zh-CN"/>
        </w:rPr>
        <w:t>响应供应商</w:t>
      </w:r>
      <w:r>
        <w:rPr>
          <w:rFonts w:hint="eastAsia" w:ascii="宋体"/>
          <w:bCs/>
          <w:color w:val="auto"/>
        </w:rPr>
        <w:t>（公章）：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33" w:name="_Hlt10567911"/>
      <w:bookmarkEnd w:id="33"/>
    </w:p>
    <w:p>
      <w:pPr>
        <w:pStyle w:val="15"/>
        <w:spacing w:line="20" w:lineRule="exact"/>
        <w:outlineLvl w:val="0"/>
        <w:rPr>
          <w:color w:val="auto"/>
        </w:rPr>
      </w:pPr>
      <w:r>
        <w:rPr>
          <w:color w:val="auto"/>
        </w:rPr>
        <w:br w:type="page"/>
      </w:r>
      <w:bookmarkStart w:id="34" w:name="_Hlt10523642"/>
      <w:bookmarkEnd w:id="34"/>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w:t>
      </w:r>
      <w:r>
        <w:rPr>
          <w:rFonts w:hint="eastAsia" w:ascii="Times New Roman" w:hAnsi="Times New Roman"/>
          <w:b/>
          <w:bCs/>
          <w:color w:val="auto"/>
          <w:kern w:val="44"/>
          <w:sz w:val="32"/>
          <w:szCs w:val="32"/>
          <w:lang w:val="en-US" w:eastAsia="zh-CN"/>
        </w:rPr>
        <w:t>3</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云浮市生态环境局罗定分局2021年建设项目环境影响报告书（表）技术评估服务项目</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 xml:space="preserve">GDYX2021YB0005 </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lang w:eastAsia="zh-CN"/>
        </w:rPr>
        <w:t>响应供应商</w:t>
      </w:r>
      <w:r>
        <w:rPr>
          <w:rFonts w:hint="eastAsia" w:hAnsi="宋体"/>
          <w:color w:val="auto"/>
        </w:rPr>
        <w:t>（公章）：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35" w:name="_Hlt10524018"/>
      <w:bookmarkEnd w:id="35"/>
      <w:bookmarkStart w:id="36" w:name="_Hlt10524029"/>
      <w:bookmarkEnd w:id="36"/>
      <w:bookmarkStart w:id="37" w:name="_Hlt10462525"/>
      <w:bookmarkEnd w:id="37"/>
      <w:bookmarkStart w:id="38" w:name="_Hlt10529670"/>
      <w:bookmarkEnd w:id="38"/>
      <w:bookmarkStart w:id="39" w:name="_Hlt10524010"/>
      <w:bookmarkEnd w:id="39"/>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bqHdvzAEAAJ0DAAAOAAAAAAAAAAEAIAAAAB4BAABkcnMvZTJv&#10;RG9jLnhtbFBLBQYAAAAABgAGAFkBAABcBQ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G7+DzAEAAJ0DAAAOAAAAAAAAAAEAIAAAAB4BAABkcnMvZTJv&#10;RG9jLnhtbFBLBQYAAAAABgAGAFkBAABcBQ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si38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sS5O25x4pfv3y4/fl1+fiXL&#10;6tUqS9QHqDHzLmBuGt76ARdn9gM6M/NBRZu/yIlgHAU+XwWWQyIiP1qv1usKQwJj8wXx2cPzECG9&#10;k96SbDQ04gSLsPz0AdKYOqfkas7famPKFI37y4GY2cNy72OP2UrDfpgI7X17Rj49Dr+hDnedEvPe&#10;obZ5T2YjzsZ+No4h6kNXFinXg/DmmLCJ0luuMMJOhXFqhd20YXkt/ryXrIe/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QbIt/LAQAAnQMAAA4AAAAAAAAAAQAgAAAAHgEAAGRycy9lMm9E&#10;b2MueG1sUEsFBgAAAAAGAAYAWQEAAFsF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FrlpzAEAAJ0DAAAOAAAAAAAAAAEAIAAAAB4BAABkcnMvZTJv&#10;RG9jLnhtbFBLBQYAAAAABgAGAFkBAABcBQ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Ynluc0BAACdAwAADgAAAAAAAAABACAAAAAeAQAAZHJzL2Uy&#10;b0RvYy54bWxQSwUGAAAAAAYABgBZAQAAXQU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eifzssBAACdAwAADgAAAGRycy9lMm9Eb2MueG1srVNLjtswDN0XmDsI&#10;2k/kBEE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5REssNTvz8+9f5z7/z359k&#10;XiyXSaLOQ4mZ9x5zY//B9bg4kx/QmZj3TTDpi5wIxhHtdBFY9pGI9Gi1WK0KDAmMTRfEZw/PfYD4&#10;UTpDklHRgBPMwvLjZ4hD6pSSqll3p7TOU9T2iQMxk4el3ocekxX7XT8S2rn6hHw6HH5FLe46JfqT&#10;RW2xvzgZYTJ2k3HwQe3bvEipHvjbQ8Qmcm+pwgA7FsapZXbjhqW1eHzPWQ9/1e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3on87LAQAAnQMAAA4AAAAAAAAAAQAgAAAAHgEAAGRycy9lMm9E&#10;b2MueG1sUEsFBgAAAAAGAAYAWQEAAFsF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eastAsia="宋体"/>
        <w:lang w:eastAsia="zh-CN"/>
      </w:rPr>
    </w:pPr>
    <w:r>
      <w:rPr>
        <w:rFonts w:hint="eastAsia" w:ascii="宋体" w:hAnsi="宋体" w:cs="Tahoma"/>
        <w:kern w:val="28"/>
        <w:lang w:eastAsia="zh-CN"/>
      </w:rPr>
      <w:t>云浮市生态环境局罗定分局2021年建设项目环境影响报告书（表）技术评估服务项目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GDYX2021YB0005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云浮市生态环境局罗定分局2021年建设项目环境影响报告书（表）技术评估服务项目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GDYX2021YB0005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Tahoma" w:hAnsi="Tahoma" w:cs="Tahoma"/>
        <w:lang w:eastAsia="zh-CN"/>
      </w:rPr>
    </w:pPr>
  </w:p>
  <w:p>
    <w:pPr>
      <w:pStyle w:val="20"/>
      <w:jc w:val="left"/>
      <w:rPr>
        <w:rFonts w:hint="eastAsia" w:eastAsia="宋体"/>
        <w:lang w:eastAsia="zh-CN"/>
      </w:rPr>
    </w:pPr>
    <w:r>
      <w:rPr>
        <w:rFonts w:hint="eastAsia" w:ascii="Tahoma" w:hAnsi="Tahoma" w:cs="Tahoma"/>
        <w:lang w:eastAsia="zh-CN"/>
      </w:rPr>
      <w:t>云浮市生态环境局罗定分局2021年建设项目环境影响报告书（表）技术评估服务项目</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 xml:space="preserve">GDYX2021YB0005   </w:t>
    </w:r>
    <w:r>
      <w:rPr>
        <w:rFonts w:hint="eastAsia" w:ascii="宋体" w:hAnsi="宋体"/>
        <w:sz w:val="21"/>
        <w:szCs w:val="21"/>
        <w:lang w:val="en-US" w:eastAsia="zh-CN"/>
      </w:rPr>
      <w:t xml:space="preserve">      </w:t>
    </w:r>
    <w:r>
      <w:rPr>
        <w:rFonts w:ascii="宋体" w:hAnsi="宋体"/>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云浮市生态环境局罗定分局2021年建设项目环境影响报告书（表）技术评估服务项目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GDYX2021YB0005</w:t>
    </w:r>
    <w:r>
      <w:rPr>
        <w:rFonts w:hint="eastAsia"/>
        <w:szCs w:val="21"/>
        <w:lang w:eastAsia="zh-CN"/>
      </w:rPr>
      <w:t xml:space="preserve">   </w:t>
    </w:r>
    <w:r>
      <w:rPr>
        <w:rFonts w:hint="eastAsia" w:ascii="宋体" w:hAnsi="宋体"/>
        <w:lang w:val="en-US" w:eastAsia="zh-CN"/>
      </w:rPr>
      <w:t xml:space="preserve">                                  </w:t>
    </w:r>
    <w:r>
      <w:rPr>
        <w:rFonts w:ascii="宋体" w:hAnsi="宋体"/>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云浮市生态环境局罗定分局2021年建设项目环境影响报告书（表）技术评估服务项目</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GDYX2021YB0005   </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C5F1D"/>
    <w:multiLevelType w:val="singleLevel"/>
    <w:tmpl w:val="9CDC5F1D"/>
    <w:lvl w:ilvl="0" w:tentative="0">
      <w:start w:val="1"/>
      <w:numFmt w:val="decimal"/>
      <w:suff w:val="nothing"/>
      <w:lvlText w:val="%1、"/>
      <w:lvlJc w:val="left"/>
    </w:lvl>
  </w:abstractNum>
  <w:abstractNum w:abstractNumId="1">
    <w:nsid w:val="E0230FD5"/>
    <w:multiLevelType w:val="singleLevel"/>
    <w:tmpl w:val="E0230FD5"/>
    <w:lvl w:ilvl="0" w:tentative="0">
      <w:start w:val="7"/>
      <w:numFmt w:val="chineseCounting"/>
      <w:suff w:val="nothing"/>
      <w:lvlText w:val="%1、"/>
      <w:lvlJc w:val="left"/>
      <w:rPr>
        <w:rFonts w:hint="eastAsia"/>
      </w:rPr>
    </w:lvl>
  </w:abstractNum>
  <w:abstractNum w:abstractNumId="2">
    <w:nsid w:val="ED1C46F8"/>
    <w:multiLevelType w:val="singleLevel"/>
    <w:tmpl w:val="ED1C46F8"/>
    <w:lvl w:ilvl="0" w:tentative="0">
      <w:start w:val="5"/>
      <w:numFmt w:val="decimal"/>
      <w:suff w:val="nothing"/>
      <w:lvlText w:val="%1、"/>
      <w:lvlJc w:val="left"/>
    </w:lvl>
  </w:abstractNum>
  <w:abstractNum w:abstractNumId="3">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4">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A5896A"/>
    <w:multiLevelType w:val="singleLevel"/>
    <w:tmpl w:val="24A5896A"/>
    <w:lvl w:ilvl="0" w:tentative="0">
      <w:start w:val="1"/>
      <w:numFmt w:val="decimal"/>
      <w:suff w:val="nothing"/>
      <w:lvlText w:val="%1、"/>
      <w:lvlJc w:val="left"/>
    </w:lvl>
  </w:abstractNum>
  <w:abstractNum w:abstractNumId="8">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9">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0">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2">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32BDE52"/>
    <w:multiLevelType w:val="singleLevel"/>
    <w:tmpl w:val="532BDE52"/>
    <w:lvl w:ilvl="0" w:tentative="0">
      <w:start w:val="1"/>
      <w:numFmt w:val="decimal"/>
      <w:suff w:val="nothing"/>
      <w:lvlText w:val="%1、"/>
      <w:lvlJc w:val="left"/>
    </w:lvl>
  </w:abstractNum>
  <w:abstractNum w:abstractNumId="15">
    <w:nsid w:val="5C234AB0"/>
    <w:multiLevelType w:val="singleLevel"/>
    <w:tmpl w:val="5C234AB0"/>
    <w:lvl w:ilvl="0" w:tentative="0">
      <w:start w:val="1"/>
      <w:numFmt w:val="decimal"/>
      <w:lvlText w:val="%1."/>
      <w:lvlJc w:val="left"/>
      <w:pPr>
        <w:tabs>
          <w:tab w:val="left" w:pos="312"/>
        </w:tabs>
      </w:pPr>
    </w:lvl>
  </w:abstractNum>
  <w:abstractNum w:abstractNumId="16">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7">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2"/>
  </w:num>
  <w:num w:numId="3">
    <w:abstractNumId w:val="3"/>
  </w:num>
  <w:num w:numId="4">
    <w:abstractNumId w:val="16"/>
  </w:num>
  <w:num w:numId="5">
    <w:abstractNumId w:val="8"/>
  </w:num>
  <w:num w:numId="6">
    <w:abstractNumId w:val="9"/>
  </w:num>
  <w:num w:numId="7">
    <w:abstractNumId w:val="13"/>
  </w:num>
  <w:num w:numId="8">
    <w:abstractNumId w:val="18"/>
  </w:num>
  <w:num w:numId="9">
    <w:abstractNumId w:val="6"/>
  </w:num>
  <w:num w:numId="10">
    <w:abstractNumId w:val="5"/>
  </w:num>
  <w:num w:numId="11">
    <w:abstractNumId w:val="4"/>
  </w:num>
  <w:num w:numId="12">
    <w:abstractNumId w:val="17"/>
  </w:num>
  <w:num w:numId="13">
    <w:abstractNumId w:val="12"/>
  </w:num>
  <w:num w:numId="14">
    <w:abstractNumId w:val="10"/>
  </w:num>
  <w:num w:numId="15">
    <w:abstractNumId w:val="1"/>
  </w:num>
  <w:num w:numId="16">
    <w:abstractNumId w:val="0"/>
  </w:num>
  <w:num w:numId="17">
    <w:abstractNumId w:val="14"/>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243"/>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1337BB9"/>
    <w:rsid w:val="01D07DE5"/>
    <w:rsid w:val="0228410C"/>
    <w:rsid w:val="026177D9"/>
    <w:rsid w:val="028B3EDC"/>
    <w:rsid w:val="02B26ADE"/>
    <w:rsid w:val="02BA5757"/>
    <w:rsid w:val="031B422C"/>
    <w:rsid w:val="03627E67"/>
    <w:rsid w:val="036B6473"/>
    <w:rsid w:val="03866869"/>
    <w:rsid w:val="038C7BC5"/>
    <w:rsid w:val="03CD4D6B"/>
    <w:rsid w:val="0408332F"/>
    <w:rsid w:val="0417338A"/>
    <w:rsid w:val="043645E4"/>
    <w:rsid w:val="048E5415"/>
    <w:rsid w:val="04E108E2"/>
    <w:rsid w:val="04FF2C77"/>
    <w:rsid w:val="0555612F"/>
    <w:rsid w:val="05784BEB"/>
    <w:rsid w:val="05821E7E"/>
    <w:rsid w:val="05BF38D9"/>
    <w:rsid w:val="05F16DBD"/>
    <w:rsid w:val="05FA2518"/>
    <w:rsid w:val="06163EE9"/>
    <w:rsid w:val="06396B90"/>
    <w:rsid w:val="068310AD"/>
    <w:rsid w:val="06B73F88"/>
    <w:rsid w:val="07196D99"/>
    <w:rsid w:val="073143FB"/>
    <w:rsid w:val="07337CC2"/>
    <w:rsid w:val="075A5CA9"/>
    <w:rsid w:val="07CC63DA"/>
    <w:rsid w:val="07E53700"/>
    <w:rsid w:val="081A7378"/>
    <w:rsid w:val="083B748A"/>
    <w:rsid w:val="08471D7F"/>
    <w:rsid w:val="085B5AF0"/>
    <w:rsid w:val="08662291"/>
    <w:rsid w:val="08A20FFF"/>
    <w:rsid w:val="08AD792E"/>
    <w:rsid w:val="08EC1456"/>
    <w:rsid w:val="08F279E2"/>
    <w:rsid w:val="09B547FB"/>
    <w:rsid w:val="09DE4B40"/>
    <w:rsid w:val="09F2600C"/>
    <w:rsid w:val="0A09774B"/>
    <w:rsid w:val="0A4A5119"/>
    <w:rsid w:val="0AC54E9D"/>
    <w:rsid w:val="0ACA3F51"/>
    <w:rsid w:val="0AD54BDA"/>
    <w:rsid w:val="0AFB6CAC"/>
    <w:rsid w:val="0B044218"/>
    <w:rsid w:val="0B0E387C"/>
    <w:rsid w:val="0B624030"/>
    <w:rsid w:val="0B6948F1"/>
    <w:rsid w:val="0B6A3D17"/>
    <w:rsid w:val="0B6D0C14"/>
    <w:rsid w:val="0B7C46F6"/>
    <w:rsid w:val="0BA37B39"/>
    <w:rsid w:val="0BA43058"/>
    <w:rsid w:val="0BBC275F"/>
    <w:rsid w:val="0BCC3F00"/>
    <w:rsid w:val="0BF7139F"/>
    <w:rsid w:val="0C1611FE"/>
    <w:rsid w:val="0C1E07F3"/>
    <w:rsid w:val="0C1F7C85"/>
    <w:rsid w:val="0C246F78"/>
    <w:rsid w:val="0C961836"/>
    <w:rsid w:val="0CA127FA"/>
    <w:rsid w:val="0CBF13D0"/>
    <w:rsid w:val="0CE757DF"/>
    <w:rsid w:val="0D066457"/>
    <w:rsid w:val="0D2A4AAC"/>
    <w:rsid w:val="0D421041"/>
    <w:rsid w:val="0D486DF3"/>
    <w:rsid w:val="0D5318D8"/>
    <w:rsid w:val="0D776FCF"/>
    <w:rsid w:val="0D92714F"/>
    <w:rsid w:val="0DFD4814"/>
    <w:rsid w:val="0E733E44"/>
    <w:rsid w:val="0E803198"/>
    <w:rsid w:val="0E993A07"/>
    <w:rsid w:val="0EF54881"/>
    <w:rsid w:val="0F0A7732"/>
    <w:rsid w:val="0F2B1295"/>
    <w:rsid w:val="0F2D6B58"/>
    <w:rsid w:val="0F6C4701"/>
    <w:rsid w:val="0F6E5BBE"/>
    <w:rsid w:val="0F702B88"/>
    <w:rsid w:val="0F7D42E7"/>
    <w:rsid w:val="0F8B0053"/>
    <w:rsid w:val="0F900189"/>
    <w:rsid w:val="0FBE6EF9"/>
    <w:rsid w:val="0FDB08BB"/>
    <w:rsid w:val="0FE12F77"/>
    <w:rsid w:val="0FEB4CD3"/>
    <w:rsid w:val="10087C15"/>
    <w:rsid w:val="100C1DE2"/>
    <w:rsid w:val="10403560"/>
    <w:rsid w:val="104F6C04"/>
    <w:rsid w:val="105F6B52"/>
    <w:rsid w:val="1071055A"/>
    <w:rsid w:val="1095067C"/>
    <w:rsid w:val="11055DB8"/>
    <w:rsid w:val="110D72FB"/>
    <w:rsid w:val="114804F6"/>
    <w:rsid w:val="115976F8"/>
    <w:rsid w:val="11634236"/>
    <w:rsid w:val="11651119"/>
    <w:rsid w:val="11704040"/>
    <w:rsid w:val="11DC6CE4"/>
    <w:rsid w:val="120409E2"/>
    <w:rsid w:val="122120C1"/>
    <w:rsid w:val="124578D6"/>
    <w:rsid w:val="124A1379"/>
    <w:rsid w:val="12741530"/>
    <w:rsid w:val="12987404"/>
    <w:rsid w:val="12F3597B"/>
    <w:rsid w:val="13071A9F"/>
    <w:rsid w:val="130D6761"/>
    <w:rsid w:val="13315615"/>
    <w:rsid w:val="1360216B"/>
    <w:rsid w:val="1390760B"/>
    <w:rsid w:val="13A7398B"/>
    <w:rsid w:val="13C9062C"/>
    <w:rsid w:val="13DD2DCA"/>
    <w:rsid w:val="14FF5942"/>
    <w:rsid w:val="15681F4B"/>
    <w:rsid w:val="156A52CD"/>
    <w:rsid w:val="15763A1A"/>
    <w:rsid w:val="15797761"/>
    <w:rsid w:val="157C59CB"/>
    <w:rsid w:val="159C5FA1"/>
    <w:rsid w:val="15A823E6"/>
    <w:rsid w:val="15B029A2"/>
    <w:rsid w:val="161D6D8C"/>
    <w:rsid w:val="1621753B"/>
    <w:rsid w:val="16450C97"/>
    <w:rsid w:val="166B719E"/>
    <w:rsid w:val="16947200"/>
    <w:rsid w:val="16B61174"/>
    <w:rsid w:val="16DC3E0B"/>
    <w:rsid w:val="17105DE6"/>
    <w:rsid w:val="171B0E56"/>
    <w:rsid w:val="171F7D5A"/>
    <w:rsid w:val="172A77E1"/>
    <w:rsid w:val="175A1BDB"/>
    <w:rsid w:val="176C3763"/>
    <w:rsid w:val="17793B8F"/>
    <w:rsid w:val="178D100E"/>
    <w:rsid w:val="17A772FC"/>
    <w:rsid w:val="17A9055F"/>
    <w:rsid w:val="17E07F69"/>
    <w:rsid w:val="181A5BAE"/>
    <w:rsid w:val="183B44F5"/>
    <w:rsid w:val="183C6BFE"/>
    <w:rsid w:val="184A0B82"/>
    <w:rsid w:val="18971DC2"/>
    <w:rsid w:val="18B704AD"/>
    <w:rsid w:val="19AC22AE"/>
    <w:rsid w:val="19B5354F"/>
    <w:rsid w:val="1A200C99"/>
    <w:rsid w:val="1A2E71B1"/>
    <w:rsid w:val="1A4736EB"/>
    <w:rsid w:val="1AC30890"/>
    <w:rsid w:val="1B146E2B"/>
    <w:rsid w:val="1B5C0BB4"/>
    <w:rsid w:val="1B8B60EF"/>
    <w:rsid w:val="1BA96D6F"/>
    <w:rsid w:val="1BBF4B85"/>
    <w:rsid w:val="1C7707FB"/>
    <w:rsid w:val="1C8F2306"/>
    <w:rsid w:val="1CAF6915"/>
    <w:rsid w:val="1D1C177C"/>
    <w:rsid w:val="1D2D47BA"/>
    <w:rsid w:val="1D4C41D3"/>
    <w:rsid w:val="1D6A39B8"/>
    <w:rsid w:val="1D7238A8"/>
    <w:rsid w:val="1D7A6C8B"/>
    <w:rsid w:val="1DA26A04"/>
    <w:rsid w:val="1E1513C7"/>
    <w:rsid w:val="1E2665E5"/>
    <w:rsid w:val="1E32703C"/>
    <w:rsid w:val="1E4C2A0C"/>
    <w:rsid w:val="1E580AC3"/>
    <w:rsid w:val="1E6814BB"/>
    <w:rsid w:val="1E6B4B47"/>
    <w:rsid w:val="1E8B5094"/>
    <w:rsid w:val="1EBA1A2E"/>
    <w:rsid w:val="1F2C4194"/>
    <w:rsid w:val="1F7E5188"/>
    <w:rsid w:val="1F9962E5"/>
    <w:rsid w:val="1FB73F48"/>
    <w:rsid w:val="1FEE30DD"/>
    <w:rsid w:val="1FF24262"/>
    <w:rsid w:val="1FFD7051"/>
    <w:rsid w:val="200A62DA"/>
    <w:rsid w:val="20482D4E"/>
    <w:rsid w:val="207B4FD4"/>
    <w:rsid w:val="20C10167"/>
    <w:rsid w:val="21200016"/>
    <w:rsid w:val="214E5F70"/>
    <w:rsid w:val="21BA29BC"/>
    <w:rsid w:val="21D218CB"/>
    <w:rsid w:val="21DD349D"/>
    <w:rsid w:val="21F805E3"/>
    <w:rsid w:val="2210611E"/>
    <w:rsid w:val="22561808"/>
    <w:rsid w:val="226C0A51"/>
    <w:rsid w:val="22803FAB"/>
    <w:rsid w:val="229C0237"/>
    <w:rsid w:val="22B86AA7"/>
    <w:rsid w:val="22BB4045"/>
    <w:rsid w:val="22D1394D"/>
    <w:rsid w:val="22DC6BE7"/>
    <w:rsid w:val="23026019"/>
    <w:rsid w:val="2305108D"/>
    <w:rsid w:val="230D4016"/>
    <w:rsid w:val="231678F6"/>
    <w:rsid w:val="23171BD6"/>
    <w:rsid w:val="23447EE5"/>
    <w:rsid w:val="23737D0D"/>
    <w:rsid w:val="23B66F17"/>
    <w:rsid w:val="241B5F4A"/>
    <w:rsid w:val="24202584"/>
    <w:rsid w:val="24217D31"/>
    <w:rsid w:val="2430791D"/>
    <w:rsid w:val="243A0254"/>
    <w:rsid w:val="243E4423"/>
    <w:rsid w:val="248020CF"/>
    <w:rsid w:val="249612EF"/>
    <w:rsid w:val="24B33515"/>
    <w:rsid w:val="24D6667D"/>
    <w:rsid w:val="24DC3A3B"/>
    <w:rsid w:val="24E91E1B"/>
    <w:rsid w:val="251E1265"/>
    <w:rsid w:val="2547624B"/>
    <w:rsid w:val="25846F90"/>
    <w:rsid w:val="25B063C8"/>
    <w:rsid w:val="25CB3120"/>
    <w:rsid w:val="25E53D36"/>
    <w:rsid w:val="25EB70F0"/>
    <w:rsid w:val="26455201"/>
    <w:rsid w:val="267B17C7"/>
    <w:rsid w:val="2692289B"/>
    <w:rsid w:val="26BA03C8"/>
    <w:rsid w:val="26C87927"/>
    <w:rsid w:val="26D96189"/>
    <w:rsid w:val="26EC3715"/>
    <w:rsid w:val="27211512"/>
    <w:rsid w:val="27871C7F"/>
    <w:rsid w:val="27D52133"/>
    <w:rsid w:val="27D86183"/>
    <w:rsid w:val="27DA6364"/>
    <w:rsid w:val="27FA2221"/>
    <w:rsid w:val="27FB4EF5"/>
    <w:rsid w:val="28323AAE"/>
    <w:rsid w:val="28454EB3"/>
    <w:rsid w:val="2855466C"/>
    <w:rsid w:val="285751A8"/>
    <w:rsid w:val="28581DCD"/>
    <w:rsid w:val="28FE6A4D"/>
    <w:rsid w:val="293107EC"/>
    <w:rsid w:val="29402C3B"/>
    <w:rsid w:val="29A42BF5"/>
    <w:rsid w:val="2A107FE6"/>
    <w:rsid w:val="2A166945"/>
    <w:rsid w:val="2A1A4034"/>
    <w:rsid w:val="2A1D6EA4"/>
    <w:rsid w:val="2AA1654D"/>
    <w:rsid w:val="2AB70A30"/>
    <w:rsid w:val="2AE36C8E"/>
    <w:rsid w:val="2B0C57D5"/>
    <w:rsid w:val="2B44618A"/>
    <w:rsid w:val="2B487BF7"/>
    <w:rsid w:val="2B9112D4"/>
    <w:rsid w:val="2B9C688A"/>
    <w:rsid w:val="2BB61297"/>
    <w:rsid w:val="2BB82262"/>
    <w:rsid w:val="2C2C749A"/>
    <w:rsid w:val="2C413AA7"/>
    <w:rsid w:val="2C4D5253"/>
    <w:rsid w:val="2C6E0D04"/>
    <w:rsid w:val="2C6F63F4"/>
    <w:rsid w:val="2C99099A"/>
    <w:rsid w:val="2CA879F6"/>
    <w:rsid w:val="2CAC4CBA"/>
    <w:rsid w:val="2CB947D7"/>
    <w:rsid w:val="2CE515E7"/>
    <w:rsid w:val="2CF57F33"/>
    <w:rsid w:val="2D0306C8"/>
    <w:rsid w:val="2D157FC0"/>
    <w:rsid w:val="2D3A4BC3"/>
    <w:rsid w:val="2D606BC2"/>
    <w:rsid w:val="2D9144DC"/>
    <w:rsid w:val="2DA27849"/>
    <w:rsid w:val="2DA7128F"/>
    <w:rsid w:val="2DD20E63"/>
    <w:rsid w:val="2DD850F2"/>
    <w:rsid w:val="2E1C7C37"/>
    <w:rsid w:val="2EAA1E42"/>
    <w:rsid w:val="2F1E5D62"/>
    <w:rsid w:val="2F503AF9"/>
    <w:rsid w:val="2F7B3278"/>
    <w:rsid w:val="2F7B5CA8"/>
    <w:rsid w:val="2F8945C2"/>
    <w:rsid w:val="2F8A50C1"/>
    <w:rsid w:val="2F98221C"/>
    <w:rsid w:val="2FCC1679"/>
    <w:rsid w:val="2FFF4E45"/>
    <w:rsid w:val="30086FF0"/>
    <w:rsid w:val="300F4DAE"/>
    <w:rsid w:val="302114F5"/>
    <w:rsid w:val="305925E1"/>
    <w:rsid w:val="3099237A"/>
    <w:rsid w:val="30B62F82"/>
    <w:rsid w:val="30B7632E"/>
    <w:rsid w:val="30CB06DF"/>
    <w:rsid w:val="311B481E"/>
    <w:rsid w:val="311C66F9"/>
    <w:rsid w:val="31220029"/>
    <w:rsid w:val="313525F8"/>
    <w:rsid w:val="314B756C"/>
    <w:rsid w:val="315136FB"/>
    <w:rsid w:val="315241B7"/>
    <w:rsid w:val="31673FEC"/>
    <w:rsid w:val="31B22DC8"/>
    <w:rsid w:val="31B3271A"/>
    <w:rsid w:val="31DC33F5"/>
    <w:rsid w:val="31E3553C"/>
    <w:rsid w:val="324C57B7"/>
    <w:rsid w:val="328A7C81"/>
    <w:rsid w:val="32D15DEA"/>
    <w:rsid w:val="32E61B0E"/>
    <w:rsid w:val="32F41158"/>
    <w:rsid w:val="33113E12"/>
    <w:rsid w:val="332C5642"/>
    <w:rsid w:val="336B2834"/>
    <w:rsid w:val="33880CE2"/>
    <w:rsid w:val="33904450"/>
    <w:rsid w:val="33CF7591"/>
    <w:rsid w:val="33DC61E7"/>
    <w:rsid w:val="34140171"/>
    <w:rsid w:val="341C4444"/>
    <w:rsid w:val="349F0D63"/>
    <w:rsid w:val="34BF4F93"/>
    <w:rsid w:val="34C13CB9"/>
    <w:rsid w:val="34C8267C"/>
    <w:rsid w:val="34CB752E"/>
    <w:rsid w:val="34F00946"/>
    <w:rsid w:val="34F6671F"/>
    <w:rsid w:val="35444E33"/>
    <w:rsid w:val="354650CE"/>
    <w:rsid w:val="35915A33"/>
    <w:rsid w:val="35BD3230"/>
    <w:rsid w:val="35C23FA3"/>
    <w:rsid w:val="35CE1C93"/>
    <w:rsid w:val="36336959"/>
    <w:rsid w:val="3675668E"/>
    <w:rsid w:val="36C04AEC"/>
    <w:rsid w:val="36D80657"/>
    <w:rsid w:val="371B0B34"/>
    <w:rsid w:val="37347C88"/>
    <w:rsid w:val="378C7CE0"/>
    <w:rsid w:val="37B171CC"/>
    <w:rsid w:val="37E76C86"/>
    <w:rsid w:val="37F043D3"/>
    <w:rsid w:val="386762C0"/>
    <w:rsid w:val="38B228F5"/>
    <w:rsid w:val="38D13BCF"/>
    <w:rsid w:val="396430B4"/>
    <w:rsid w:val="397237DD"/>
    <w:rsid w:val="397825BC"/>
    <w:rsid w:val="39833969"/>
    <w:rsid w:val="39AF72A0"/>
    <w:rsid w:val="39F30451"/>
    <w:rsid w:val="3A65042C"/>
    <w:rsid w:val="3A9A3131"/>
    <w:rsid w:val="3AA13714"/>
    <w:rsid w:val="3AA877DE"/>
    <w:rsid w:val="3ABE77F6"/>
    <w:rsid w:val="3AD4350E"/>
    <w:rsid w:val="3AD5093F"/>
    <w:rsid w:val="3AF76FA1"/>
    <w:rsid w:val="3AFD3861"/>
    <w:rsid w:val="3B9930A8"/>
    <w:rsid w:val="3BE9242F"/>
    <w:rsid w:val="3C235935"/>
    <w:rsid w:val="3C695F34"/>
    <w:rsid w:val="3C71049E"/>
    <w:rsid w:val="3CBB65F5"/>
    <w:rsid w:val="3D177D11"/>
    <w:rsid w:val="3D247B44"/>
    <w:rsid w:val="3D5411F5"/>
    <w:rsid w:val="3D5A1015"/>
    <w:rsid w:val="3D5A6E74"/>
    <w:rsid w:val="3D727365"/>
    <w:rsid w:val="3D97274F"/>
    <w:rsid w:val="3D9F20A5"/>
    <w:rsid w:val="3DA14FD8"/>
    <w:rsid w:val="3DA32E89"/>
    <w:rsid w:val="3DA61753"/>
    <w:rsid w:val="3DD60DF9"/>
    <w:rsid w:val="3E1C2564"/>
    <w:rsid w:val="3E426526"/>
    <w:rsid w:val="3E9A7C89"/>
    <w:rsid w:val="3ED42873"/>
    <w:rsid w:val="3EF116EF"/>
    <w:rsid w:val="3EF75AF1"/>
    <w:rsid w:val="3EF84A0D"/>
    <w:rsid w:val="3F0C1EAD"/>
    <w:rsid w:val="3F354F38"/>
    <w:rsid w:val="3F92514A"/>
    <w:rsid w:val="3F972E98"/>
    <w:rsid w:val="3FB9042D"/>
    <w:rsid w:val="3FBF285B"/>
    <w:rsid w:val="3FC225FF"/>
    <w:rsid w:val="3FCE12ED"/>
    <w:rsid w:val="3FD17E41"/>
    <w:rsid w:val="3FF4036F"/>
    <w:rsid w:val="3FFC1870"/>
    <w:rsid w:val="401F61B5"/>
    <w:rsid w:val="403B1803"/>
    <w:rsid w:val="40912080"/>
    <w:rsid w:val="40E647E3"/>
    <w:rsid w:val="40ED5CD0"/>
    <w:rsid w:val="41193E41"/>
    <w:rsid w:val="41470D92"/>
    <w:rsid w:val="41597CC1"/>
    <w:rsid w:val="41784B4A"/>
    <w:rsid w:val="41A664D0"/>
    <w:rsid w:val="41B13BD3"/>
    <w:rsid w:val="41EF728F"/>
    <w:rsid w:val="42355579"/>
    <w:rsid w:val="424A21A4"/>
    <w:rsid w:val="42500F8E"/>
    <w:rsid w:val="42522927"/>
    <w:rsid w:val="425D6528"/>
    <w:rsid w:val="4266269B"/>
    <w:rsid w:val="42671377"/>
    <w:rsid w:val="430B6E49"/>
    <w:rsid w:val="43225707"/>
    <w:rsid w:val="439D6949"/>
    <w:rsid w:val="44375D64"/>
    <w:rsid w:val="44432C5B"/>
    <w:rsid w:val="44907624"/>
    <w:rsid w:val="44A42FBC"/>
    <w:rsid w:val="44B429E7"/>
    <w:rsid w:val="44E24122"/>
    <w:rsid w:val="44E36753"/>
    <w:rsid w:val="452D1FFB"/>
    <w:rsid w:val="45525FF5"/>
    <w:rsid w:val="455C09C9"/>
    <w:rsid w:val="45A91463"/>
    <w:rsid w:val="45B2703F"/>
    <w:rsid w:val="460D0517"/>
    <w:rsid w:val="460E66C6"/>
    <w:rsid w:val="46205A1C"/>
    <w:rsid w:val="4637072C"/>
    <w:rsid w:val="467233BF"/>
    <w:rsid w:val="46D30980"/>
    <w:rsid w:val="46F642A3"/>
    <w:rsid w:val="47352915"/>
    <w:rsid w:val="4740032D"/>
    <w:rsid w:val="47427C8E"/>
    <w:rsid w:val="474A0A85"/>
    <w:rsid w:val="477F456E"/>
    <w:rsid w:val="479762EE"/>
    <w:rsid w:val="4798237E"/>
    <w:rsid w:val="47A12F46"/>
    <w:rsid w:val="47F949DF"/>
    <w:rsid w:val="480A1470"/>
    <w:rsid w:val="48157B65"/>
    <w:rsid w:val="48577A65"/>
    <w:rsid w:val="48721441"/>
    <w:rsid w:val="48AA6C19"/>
    <w:rsid w:val="48D60D33"/>
    <w:rsid w:val="48E30667"/>
    <w:rsid w:val="4907051E"/>
    <w:rsid w:val="491D55D9"/>
    <w:rsid w:val="49446EA2"/>
    <w:rsid w:val="49466EFD"/>
    <w:rsid w:val="495A6738"/>
    <w:rsid w:val="499F4A6D"/>
    <w:rsid w:val="4A2F568B"/>
    <w:rsid w:val="4A33138B"/>
    <w:rsid w:val="4A8234F4"/>
    <w:rsid w:val="4A904595"/>
    <w:rsid w:val="4AB76A28"/>
    <w:rsid w:val="4AC9763E"/>
    <w:rsid w:val="4ADD631C"/>
    <w:rsid w:val="4AE07264"/>
    <w:rsid w:val="4AE45CCA"/>
    <w:rsid w:val="4B342EE1"/>
    <w:rsid w:val="4B384CC0"/>
    <w:rsid w:val="4B4E38C2"/>
    <w:rsid w:val="4B632A78"/>
    <w:rsid w:val="4B7E0D4C"/>
    <w:rsid w:val="4BE95297"/>
    <w:rsid w:val="4BEE116F"/>
    <w:rsid w:val="4C4C6B52"/>
    <w:rsid w:val="4C615907"/>
    <w:rsid w:val="4C636D13"/>
    <w:rsid w:val="4C867C53"/>
    <w:rsid w:val="4C9F2990"/>
    <w:rsid w:val="4D18055B"/>
    <w:rsid w:val="4D204955"/>
    <w:rsid w:val="4D2838A9"/>
    <w:rsid w:val="4D7224B8"/>
    <w:rsid w:val="4D94405B"/>
    <w:rsid w:val="4DD2227C"/>
    <w:rsid w:val="4E1857AC"/>
    <w:rsid w:val="4E26261F"/>
    <w:rsid w:val="4E403C3C"/>
    <w:rsid w:val="4E8805F8"/>
    <w:rsid w:val="4E901F73"/>
    <w:rsid w:val="4EB04E58"/>
    <w:rsid w:val="4EBB20BD"/>
    <w:rsid w:val="4ECA7ED2"/>
    <w:rsid w:val="4ED8191B"/>
    <w:rsid w:val="4F0A7B28"/>
    <w:rsid w:val="4F410CB6"/>
    <w:rsid w:val="4F5A2C1F"/>
    <w:rsid w:val="4FB46852"/>
    <w:rsid w:val="500C3DF7"/>
    <w:rsid w:val="5023764A"/>
    <w:rsid w:val="503E062C"/>
    <w:rsid w:val="50987766"/>
    <w:rsid w:val="50D36AC6"/>
    <w:rsid w:val="51112461"/>
    <w:rsid w:val="513959C5"/>
    <w:rsid w:val="514364D8"/>
    <w:rsid w:val="514B137F"/>
    <w:rsid w:val="51791DFD"/>
    <w:rsid w:val="51CE0F89"/>
    <w:rsid w:val="520165FA"/>
    <w:rsid w:val="523C2FF3"/>
    <w:rsid w:val="525C1F81"/>
    <w:rsid w:val="5267603D"/>
    <w:rsid w:val="5292324C"/>
    <w:rsid w:val="529309B8"/>
    <w:rsid w:val="529A2F5E"/>
    <w:rsid w:val="52E867C0"/>
    <w:rsid w:val="531D1179"/>
    <w:rsid w:val="533C7B83"/>
    <w:rsid w:val="53D944ED"/>
    <w:rsid w:val="53DA28A7"/>
    <w:rsid w:val="540909EB"/>
    <w:rsid w:val="542156D6"/>
    <w:rsid w:val="54520A94"/>
    <w:rsid w:val="54571F99"/>
    <w:rsid w:val="548A63EC"/>
    <w:rsid w:val="54A57642"/>
    <w:rsid w:val="54AB5AED"/>
    <w:rsid w:val="54B327C6"/>
    <w:rsid w:val="552044B5"/>
    <w:rsid w:val="55235F7C"/>
    <w:rsid w:val="554F676F"/>
    <w:rsid w:val="556E1B11"/>
    <w:rsid w:val="558926D2"/>
    <w:rsid w:val="559F52CF"/>
    <w:rsid w:val="562516A7"/>
    <w:rsid w:val="5659756E"/>
    <w:rsid w:val="56730993"/>
    <w:rsid w:val="56B474E3"/>
    <w:rsid w:val="56C54260"/>
    <w:rsid w:val="56D00CD0"/>
    <w:rsid w:val="572569F9"/>
    <w:rsid w:val="5734537F"/>
    <w:rsid w:val="573471F4"/>
    <w:rsid w:val="573E7DBA"/>
    <w:rsid w:val="584F4DEB"/>
    <w:rsid w:val="597F0C7C"/>
    <w:rsid w:val="59953DB9"/>
    <w:rsid w:val="59A93CBF"/>
    <w:rsid w:val="59DF11D1"/>
    <w:rsid w:val="59E7087A"/>
    <w:rsid w:val="5A160B96"/>
    <w:rsid w:val="5A233EB1"/>
    <w:rsid w:val="5A476FBB"/>
    <w:rsid w:val="5A53303E"/>
    <w:rsid w:val="5A7F39C8"/>
    <w:rsid w:val="5AA82E6F"/>
    <w:rsid w:val="5B045B10"/>
    <w:rsid w:val="5B074770"/>
    <w:rsid w:val="5B7D1950"/>
    <w:rsid w:val="5B7E67A6"/>
    <w:rsid w:val="5BA83EAD"/>
    <w:rsid w:val="5C1169B9"/>
    <w:rsid w:val="5C152C9F"/>
    <w:rsid w:val="5C202CA0"/>
    <w:rsid w:val="5C432CB0"/>
    <w:rsid w:val="5C655779"/>
    <w:rsid w:val="5C7A07A6"/>
    <w:rsid w:val="5C8D0D08"/>
    <w:rsid w:val="5D26131D"/>
    <w:rsid w:val="5D4535FC"/>
    <w:rsid w:val="5D6D0341"/>
    <w:rsid w:val="5D9E6DA0"/>
    <w:rsid w:val="5DA04389"/>
    <w:rsid w:val="5DBA2772"/>
    <w:rsid w:val="5DBD752C"/>
    <w:rsid w:val="5DD664E8"/>
    <w:rsid w:val="5E344CEC"/>
    <w:rsid w:val="5E373A11"/>
    <w:rsid w:val="5E377FA2"/>
    <w:rsid w:val="5E3C21DB"/>
    <w:rsid w:val="5E6926D0"/>
    <w:rsid w:val="5E89111B"/>
    <w:rsid w:val="5E8E3B20"/>
    <w:rsid w:val="5EB46B11"/>
    <w:rsid w:val="5ED11038"/>
    <w:rsid w:val="5EFF303D"/>
    <w:rsid w:val="5F1B7608"/>
    <w:rsid w:val="5F2A2D28"/>
    <w:rsid w:val="5F2E6734"/>
    <w:rsid w:val="5F38476E"/>
    <w:rsid w:val="5F493275"/>
    <w:rsid w:val="5F7B0AA0"/>
    <w:rsid w:val="5F804092"/>
    <w:rsid w:val="5FA5253D"/>
    <w:rsid w:val="5FB332D0"/>
    <w:rsid w:val="5FFC1153"/>
    <w:rsid w:val="601B3CC5"/>
    <w:rsid w:val="60484B23"/>
    <w:rsid w:val="60532E8A"/>
    <w:rsid w:val="60891CC0"/>
    <w:rsid w:val="608D2023"/>
    <w:rsid w:val="60A46CB8"/>
    <w:rsid w:val="60F617E1"/>
    <w:rsid w:val="61402FE4"/>
    <w:rsid w:val="615E0D34"/>
    <w:rsid w:val="616621EC"/>
    <w:rsid w:val="616F4AAB"/>
    <w:rsid w:val="617C3486"/>
    <w:rsid w:val="618C61F9"/>
    <w:rsid w:val="61B451D9"/>
    <w:rsid w:val="61E674AA"/>
    <w:rsid w:val="62417376"/>
    <w:rsid w:val="627945C1"/>
    <w:rsid w:val="62861D7E"/>
    <w:rsid w:val="62DE64EC"/>
    <w:rsid w:val="63600ACF"/>
    <w:rsid w:val="63BC0A3C"/>
    <w:rsid w:val="64065DD5"/>
    <w:rsid w:val="64331100"/>
    <w:rsid w:val="645B10B7"/>
    <w:rsid w:val="64AC197F"/>
    <w:rsid w:val="64D40A87"/>
    <w:rsid w:val="64DC248E"/>
    <w:rsid w:val="650744A9"/>
    <w:rsid w:val="650A20C4"/>
    <w:rsid w:val="65285B05"/>
    <w:rsid w:val="654534EB"/>
    <w:rsid w:val="65A04BD9"/>
    <w:rsid w:val="65DF2CF8"/>
    <w:rsid w:val="661121FF"/>
    <w:rsid w:val="662F0C23"/>
    <w:rsid w:val="6672781F"/>
    <w:rsid w:val="66976296"/>
    <w:rsid w:val="66A667CE"/>
    <w:rsid w:val="66B024EE"/>
    <w:rsid w:val="66C057B9"/>
    <w:rsid w:val="6736504A"/>
    <w:rsid w:val="67373383"/>
    <w:rsid w:val="673967DC"/>
    <w:rsid w:val="6780109A"/>
    <w:rsid w:val="67A90F21"/>
    <w:rsid w:val="67E20226"/>
    <w:rsid w:val="67E25816"/>
    <w:rsid w:val="67ED4339"/>
    <w:rsid w:val="683C52F1"/>
    <w:rsid w:val="684024A0"/>
    <w:rsid w:val="688050F9"/>
    <w:rsid w:val="688B05DF"/>
    <w:rsid w:val="68B72F71"/>
    <w:rsid w:val="68B82DE9"/>
    <w:rsid w:val="69401DCC"/>
    <w:rsid w:val="695733E8"/>
    <w:rsid w:val="695B52D0"/>
    <w:rsid w:val="696D49BA"/>
    <w:rsid w:val="6992655B"/>
    <w:rsid w:val="69971B86"/>
    <w:rsid w:val="69B93841"/>
    <w:rsid w:val="69BB6CFC"/>
    <w:rsid w:val="6A256E8E"/>
    <w:rsid w:val="6A2611E1"/>
    <w:rsid w:val="6A665E99"/>
    <w:rsid w:val="6A9A4D1F"/>
    <w:rsid w:val="6A9F6D99"/>
    <w:rsid w:val="6AA0237F"/>
    <w:rsid w:val="6ABA4EBC"/>
    <w:rsid w:val="6AC049E9"/>
    <w:rsid w:val="6B143ED6"/>
    <w:rsid w:val="6B1A5498"/>
    <w:rsid w:val="6B2F6AFD"/>
    <w:rsid w:val="6B5E160E"/>
    <w:rsid w:val="6B8B392F"/>
    <w:rsid w:val="6BAA13E3"/>
    <w:rsid w:val="6BB15830"/>
    <w:rsid w:val="6BE03B99"/>
    <w:rsid w:val="6BE22796"/>
    <w:rsid w:val="6C10639B"/>
    <w:rsid w:val="6C677E00"/>
    <w:rsid w:val="6CB24B8A"/>
    <w:rsid w:val="6CCD26EE"/>
    <w:rsid w:val="6CF13463"/>
    <w:rsid w:val="6D1A4453"/>
    <w:rsid w:val="6D2C786A"/>
    <w:rsid w:val="6D4A7621"/>
    <w:rsid w:val="6D614100"/>
    <w:rsid w:val="6DE472D6"/>
    <w:rsid w:val="6DE74F1F"/>
    <w:rsid w:val="6E7708AC"/>
    <w:rsid w:val="6E8922D0"/>
    <w:rsid w:val="6E945C90"/>
    <w:rsid w:val="6EA957FF"/>
    <w:rsid w:val="6EDB6C98"/>
    <w:rsid w:val="6EE913DB"/>
    <w:rsid w:val="6EFE33F6"/>
    <w:rsid w:val="6F1919BF"/>
    <w:rsid w:val="6F2B2212"/>
    <w:rsid w:val="6F3C1C12"/>
    <w:rsid w:val="6FC8444E"/>
    <w:rsid w:val="6FCA1F3D"/>
    <w:rsid w:val="6FF4257E"/>
    <w:rsid w:val="704F39D4"/>
    <w:rsid w:val="70B9427D"/>
    <w:rsid w:val="70DC36D7"/>
    <w:rsid w:val="70DD263F"/>
    <w:rsid w:val="7103039D"/>
    <w:rsid w:val="71876F14"/>
    <w:rsid w:val="71A67BCE"/>
    <w:rsid w:val="71C617C1"/>
    <w:rsid w:val="71CA593D"/>
    <w:rsid w:val="71F77214"/>
    <w:rsid w:val="71FB1ECF"/>
    <w:rsid w:val="722A251B"/>
    <w:rsid w:val="723546C0"/>
    <w:rsid w:val="72371CBF"/>
    <w:rsid w:val="7271192C"/>
    <w:rsid w:val="727365D5"/>
    <w:rsid w:val="727B3332"/>
    <w:rsid w:val="72A133AD"/>
    <w:rsid w:val="72BD31E5"/>
    <w:rsid w:val="72DE2EA9"/>
    <w:rsid w:val="72F86FCA"/>
    <w:rsid w:val="73076B04"/>
    <w:rsid w:val="732038EF"/>
    <w:rsid w:val="73242065"/>
    <w:rsid w:val="733B0FB7"/>
    <w:rsid w:val="734B74CE"/>
    <w:rsid w:val="737347B1"/>
    <w:rsid w:val="738A2189"/>
    <w:rsid w:val="73CB4D0A"/>
    <w:rsid w:val="740206F2"/>
    <w:rsid w:val="740B2075"/>
    <w:rsid w:val="743209BA"/>
    <w:rsid w:val="743C27BF"/>
    <w:rsid w:val="746E2F8B"/>
    <w:rsid w:val="7483273D"/>
    <w:rsid w:val="751273E1"/>
    <w:rsid w:val="75174752"/>
    <w:rsid w:val="751D6573"/>
    <w:rsid w:val="7566410C"/>
    <w:rsid w:val="759A507B"/>
    <w:rsid w:val="75B34215"/>
    <w:rsid w:val="75C15011"/>
    <w:rsid w:val="75DC1388"/>
    <w:rsid w:val="76756488"/>
    <w:rsid w:val="767B3DED"/>
    <w:rsid w:val="76911BD8"/>
    <w:rsid w:val="769456B8"/>
    <w:rsid w:val="76C83886"/>
    <w:rsid w:val="76C9130A"/>
    <w:rsid w:val="76E71887"/>
    <w:rsid w:val="76F62A14"/>
    <w:rsid w:val="77066B13"/>
    <w:rsid w:val="776467E1"/>
    <w:rsid w:val="776D079C"/>
    <w:rsid w:val="77B647D3"/>
    <w:rsid w:val="77FE3729"/>
    <w:rsid w:val="78154AAB"/>
    <w:rsid w:val="782A14F3"/>
    <w:rsid w:val="78627B63"/>
    <w:rsid w:val="78927EDF"/>
    <w:rsid w:val="789A2472"/>
    <w:rsid w:val="78E6739B"/>
    <w:rsid w:val="78E933D4"/>
    <w:rsid w:val="78FD57E1"/>
    <w:rsid w:val="78FE7A6A"/>
    <w:rsid w:val="79490AF8"/>
    <w:rsid w:val="79733CA9"/>
    <w:rsid w:val="797C2BF9"/>
    <w:rsid w:val="79844946"/>
    <w:rsid w:val="799C1AC4"/>
    <w:rsid w:val="79A420BF"/>
    <w:rsid w:val="79B7260D"/>
    <w:rsid w:val="79FC3F51"/>
    <w:rsid w:val="79FC742D"/>
    <w:rsid w:val="7A165D8F"/>
    <w:rsid w:val="7A3A48A2"/>
    <w:rsid w:val="7A8A4FEC"/>
    <w:rsid w:val="7A922AF9"/>
    <w:rsid w:val="7AB2474C"/>
    <w:rsid w:val="7ABF2D23"/>
    <w:rsid w:val="7B0B5FA9"/>
    <w:rsid w:val="7B257C8D"/>
    <w:rsid w:val="7B6047B0"/>
    <w:rsid w:val="7B6F42DB"/>
    <w:rsid w:val="7B761B39"/>
    <w:rsid w:val="7B8400B2"/>
    <w:rsid w:val="7B9773BA"/>
    <w:rsid w:val="7BA402EF"/>
    <w:rsid w:val="7BA8671F"/>
    <w:rsid w:val="7BD62DEB"/>
    <w:rsid w:val="7C012B17"/>
    <w:rsid w:val="7C1509C0"/>
    <w:rsid w:val="7C2E7DF7"/>
    <w:rsid w:val="7C630EA1"/>
    <w:rsid w:val="7C66052B"/>
    <w:rsid w:val="7C6C0A52"/>
    <w:rsid w:val="7CB7092B"/>
    <w:rsid w:val="7CC975D0"/>
    <w:rsid w:val="7CEF5999"/>
    <w:rsid w:val="7D5435D5"/>
    <w:rsid w:val="7D6A27F9"/>
    <w:rsid w:val="7D6D1B4B"/>
    <w:rsid w:val="7D74675F"/>
    <w:rsid w:val="7D921D80"/>
    <w:rsid w:val="7DC44727"/>
    <w:rsid w:val="7DC46498"/>
    <w:rsid w:val="7DEC7DEC"/>
    <w:rsid w:val="7E1E61D3"/>
    <w:rsid w:val="7E2E7118"/>
    <w:rsid w:val="7EBE547D"/>
    <w:rsid w:val="7ECB6123"/>
    <w:rsid w:val="7EE53C33"/>
    <w:rsid w:val="7EE54CF0"/>
    <w:rsid w:val="7EF230FA"/>
    <w:rsid w:val="7F701093"/>
    <w:rsid w:val="7FA10786"/>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9"/>
    <w:qFormat/>
    <w:uiPriority w:val="99"/>
    <w:pPr>
      <w:widowControl w:val="0"/>
      <w:spacing w:line="360" w:lineRule="auto"/>
      <w:jc w:val="both"/>
      <w:outlineLvl w:val="2"/>
    </w:pPr>
    <w:rPr>
      <w:rFonts w:ascii="宋体"/>
    </w:rPr>
  </w:style>
  <w:style w:type="paragraph" w:styleId="6">
    <w:name w:val="heading 4"/>
    <w:basedOn w:val="1"/>
    <w:next w:val="1"/>
    <w:link w:val="40"/>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41"/>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0">
    <w:name w:val="Default Paragraph Font"/>
    <w:link w:val="31"/>
    <w:semiHidden/>
    <w:qFormat/>
    <w:uiPriority w:val="99"/>
    <w:rPr>
      <w:rFonts w:ascii="Tahoma" w:hAnsi="Tahoma"/>
      <w:kern w:val="2"/>
      <w:sz w:val="24"/>
    </w:rPr>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9">
    <w:name w:val="Normal Indent"/>
    <w:basedOn w:val="1"/>
    <w:link w:val="54"/>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10">
    <w:name w:val="caption"/>
    <w:basedOn w:val="1"/>
    <w:next w:val="1"/>
    <w:qFormat/>
    <w:uiPriority w:val="99"/>
    <w:rPr>
      <w:rFonts w:ascii="Arial" w:hAnsi="Arial" w:eastAsia="黑体" w:cs="Arial"/>
      <w:sz w:val="20"/>
    </w:rPr>
  </w:style>
  <w:style w:type="paragraph" w:styleId="11">
    <w:name w:val="Document Map"/>
    <w:basedOn w:val="1"/>
    <w:link w:val="44"/>
    <w:qFormat/>
    <w:uiPriority w:val="99"/>
    <w:rPr>
      <w:rFonts w:ascii="宋体"/>
      <w:sz w:val="18"/>
      <w:szCs w:val="18"/>
    </w:rPr>
  </w:style>
  <w:style w:type="paragraph" w:styleId="12">
    <w:name w:val="annotation text"/>
    <w:basedOn w:val="1"/>
    <w:link w:val="42"/>
    <w:semiHidden/>
    <w:qFormat/>
    <w:uiPriority w:val="99"/>
  </w:style>
  <w:style w:type="paragraph" w:styleId="13">
    <w:name w:val="Body Text 3"/>
    <w:basedOn w:val="1"/>
    <w:link w:val="45"/>
    <w:qFormat/>
    <w:uiPriority w:val="99"/>
    <w:pPr>
      <w:spacing w:after="120"/>
    </w:pPr>
    <w:rPr>
      <w:sz w:val="16"/>
      <w:szCs w:val="16"/>
    </w:rPr>
  </w:style>
  <w:style w:type="paragraph" w:styleId="14">
    <w:name w:val="Body Text Indent"/>
    <w:basedOn w:val="1"/>
    <w:link w:val="46"/>
    <w:qFormat/>
    <w:uiPriority w:val="99"/>
    <w:pPr>
      <w:spacing w:after="120"/>
      <w:ind w:left="420" w:leftChars="200"/>
    </w:pPr>
  </w:style>
  <w:style w:type="paragraph" w:styleId="15">
    <w:name w:val="Plain Text"/>
    <w:basedOn w:val="1"/>
    <w:next w:val="1"/>
    <w:link w:val="56"/>
    <w:qFormat/>
    <w:uiPriority w:val="99"/>
    <w:pPr>
      <w:widowControl w:val="0"/>
      <w:jc w:val="both"/>
    </w:pPr>
    <w:rPr>
      <w:rFonts w:ascii="宋体" w:hAnsi="Courier New"/>
      <w:kern w:val="2"/>
    </w:rPr>
  </w:style>
  <w:style w:type="paragraph" w:styleId="16">
    <w:name w:val="Date"/>
    <w:basedOn w:val="1"/>
    <w:next w:val="1"/>
    <w:link w:val="48"/>
    <w:qFormat/>
    <w:uiPriority w:val="99"/>
    <w:pPr>
      <w:widowControl w:val="0"/>
      <w:jc w:val="both"/>
    </w:pPr>
    <w:rPr>
      <w:kern w:val="2"/>
    </w:rPr>
  </w:style>
  <w:style w:type="paragraph" w:styleId="17">
    <w:name w:val="Body Text Indent 2"/>
    <w:basedOn w:val="1"/>
    <w:link w:val="49"/>
    <w:qFormat/>
    <w:uiPriority w:val="99"/>
    <w:pPr>
      <w:spacing w:after="120" w:line="480" w:lineRule="auto"/>
      <w:ind w:left="420" w:leftChars="200"/>
    </w:pPr>
  </w:style>
  <w:style w:type="paragraph" w:styleId="18">
    <w:name w:val="Balloon Text"/>
    <w:basedOn w:val="1"/>
    <w:link w:val="50"/>
    <w:semiHidden/>
    <w:qFormat/>
    <w:uiPriority w:val="99"/>
    <w:rPr>
      <w:sz w:val="18"/>
      <w:szCs w:val="18"/>
    </w:rPr>
  </w:style>
  <w:style w:type="paragraph" w:styleId="19">
    <w:name w:val="footer"/>
    <w:basedOn w:val="1"/>
    <w:link w:val="51"/>
    <w:qFormat/>
    <w:uiPriority w:val="99"/>
    <w:pPr>
      <w:tabs>
        <w:tab w:val="center" w:pos="4153"/>
        <w:tab w:val="right" w:pos="8306"/>
      </w:tabs>
      <w:snapToGrid w:val="0"/>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ind w:left="420" w:leftChars="200"/>
    </w:p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2"/>
    <w:next w:val="12"/>
    <w:link w:val="43"/>
    <w:semiHidden/>
    <w:qFormat/>
    <w:uiPriority w:val="99"/>
    <w:rPr>
      <w:b/>
      <w:bCs/>
    </w:rPr>
  </w:style>
  <w:style w:type="table" w:styleId="29">
    <w:name w:val="Table Grid"/>
    <w:basedOn w:val="28"/>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Char Char Char"/>
    <w:basedOn w:val="1"/>
    <w:link w:val="30"/>
    <w:qFormat/>
    <w:uiPriority w:val="99"/>
    <w:pPr>
      <w:widowControl w:val="0"/>
      <w:jc w:val="both"/>
    </w:pPr>
    <w:rPr>
      <w:rFonts w:ascii="Tahoma" w:hAnsi="Tahoma"/>
      <w:kern w:val="2"/>
      <w:sz w:val="24"/>
    </w:rPr>
  </w:style>
  <w:style w:type="character" w:styleId="32">
    <w:name w:val="Strong"/>
    <w:basedOn w:val="30"/>
    <w:qFormat/>
    <w:uiPriority w:val="0"/>
    <w:rPr>
      <w:b/>
    </w:rPr>
  </w:style>
  <w:style w:type="character" w:styleId="33">
    <w:name w:val="page number"/>
    <w:basedOn w:val="30"/>
    <w:qFormat/>
    <w:uiPriority w:val="99"/>
    <w:rPr>
      <w:rFonts w:cs="Times New Roman"/>
    </w:rPr>
  </w:style>
  <w:style w:type="character" w:styleId="34">
    <w:name w:val="Emphasis"/>
    <w:basedOn w:val="30"/>
    <w:qFormat/>
    <w:uiPriority w:val="99"/>
    <w:rPr>
      <w:rFonts w:cs="Times New Roman"/>
      <w:color w:val="CC0000"/>
    </w:rPr>
  </w:style>
  <w:style w:type="character" w:styleId="35">
    <w:name w:val="Hyperlink"/>
    <w:basedOn w:val="30"/>
    <w:qFormat/>
    <w:uiPriority w:val="99"/>
    <w:rPr>
      <w:rFonts w:cs="Times New Roman"/>
      <w:color w:val="0000FF"/>
      <w:u w:val="single"/>
    </w:rPr>
  </w:style>
  <w:style w:type="character" w:styleId="36">
    <w:name w:val="annotation reference"/>
    <w:basedOn w:val="30"/>
    <w:semiHidden/>
    <w:qFormat/>
    <w:uiPriority w:val="99"/>
    <w:rPr>
      <w:rFonts w:cs="Times New Roman"/>
      <w:sz w:val="21"/>
    </w:rPr>
  </w:style>
  <w:style w:type="character" w:customStyle="1" w:styleId="37">
    <w:name w:val="Heading 1 Char"/>
    <w:basedOn w:val="30"/>
    <w:link w:val="3"/>
    <w:qFormat/>
    <w:locked/>
    <w:uiPriority w:val="99"/>
    <w:rPr>
      <w:rFonts w:eastAsia="宋体" w:cs="Times New Roman"/>
      <w:b/>
      <w:kern w:val="44"/>
      <w:sz w:val="44"/>
      <w:lang w:val="en-US" w:eastAsia="zh-CN"/>
    </w:rPr>
  </w:style>
  <w:style w:type="character" w:customStyle="1" w:styleId="38">
    <w:name w:val="Heading 2 Char"/>
    <w:basedOn w:val="30"/>
    <w:link w:val="4"/>
    <w:qFormat/>
    <w:locked/>
    <w:uiPriority w:val="99"/>
    <w:rPr>
      <w:rFonts w:ascii="宋体" w:hAnsi="Arial" w:eastAsia="宋体" w:cs="Times New Roman"/>
      <w:b/>
      <w:sz w:val="32"/>
      <w:lang w:val="en-US" w:eastAsia="zh-CN"/>
    </w:rPr>
  </w:style>
  <w:style w:type="character" w:customStyle="1" w:styleId="39">
    <w:name w:val="Heading 3 Char"/>
    <w:basedOn w:val="30"/>
    <w:link w:val="5"/>
    <w:qFormat/>
    <w:locked/>
    <w:uiPriority w:val="99"/>
    <w:rPr>
      <w:rFonts w:ascii="宋体" w:eastAsia="宋体" w:cs="Times New Roman"/>
      <w:sz w:val="21"/>
      <w:lang w:val="en-US" w:eastAsia="zh-CN"/>
    </w:rPr>
  </w:style>
  <w:style w:type="character" w:customStyle="1" w:styleId="40">
    <w:name w:val="Heading 4 Char"/>
    <w:basedOn w:val="30"/>
    <w:link w:val="6"/>
    <w:semiHidden/>
    <w:qFormat/>
    <w:locked/>
    <w:uiPriority w:val="99"/>
    <w:rPr>
      <w:rFonts w:ascii="Cambria" w:hAnsi="Cambria" w:eastAsia="宋体" w:cs="Times New Roman"/>
      <w:b/>
      <w:bCs/>
      <w:kern w:val="0"/>
      <w:sz w:val="28"/>
      <w:szCs w:val="28"/>
    </w:rPr>
  </w:style>
  <w:style w:type="character" w:customStyle="1" w:styleId="41">
    <w:name w:val="Heading 9 Char"/>
    <w:basedOn w:val="30"/>
    <w:link w:val="8"/>
    <w:semiHidden/>
    <w:qFormat/>
    <w:locked/>
    <w:uiPriority w:val="99"/>
    <w:rPr>
      <w:rFonts w:ascii="Cambria" w:hAnsi="Cambria" w:eastAsia="宋体" w:cs="Times New Roman"/>
      <w:kern w:val="0"/>
      <w:sz w:val="21"/>
      <w:szCs w:val="21"/>
    </w:rPr>
  </w:style>
  <w:style w:type="character" w:customStyle="1" w:styleId="42">
    <w:name w:val="Comment Text Char"/>
    <w:basedOn w:val="30"/>
    <w:link w:val="12"/>
    <w:semiHidden/>
    <w:qFormat/>
    <w:locked/>
    <w:uiPriority w:val="99"/>
    <w:rPr>
      <w:rFonts w:cs="Times New Roman"/>
      <w:kern w:val="0"/>
      <w:sz w:val="20"/>
      <w:szCs w:val="20"/>
    </w:rPr>
  </w:style>
  <w:style w:type="character" w:customStyle="1" w:styleId="43">
    <w:name w:val="Comment Subject Char"/>
    <w:basedOn w:val="42"/>
    <w:link w:val="27"/>
    <w:semiHidden/>
    <w:qFormat/>
    <w:locked/>
    <w:uiPriority w:val="99"/>
    <w:rPr>
      <w:b/>
      <w:bCs/>
    </w:rPr>
  </w:style>
  <w:style w:type="character" w:customStyle="1" w:styleId="44">
    <w:name w:val="Document Map Char"/>
    <w:basedOn w:val="30"/>
    <w:link w:val="11"/>
    <w:qFormat/>
    <w:locked/>
    <w:uiPriority w:val="99"/>
    <w:rPr>
      <w:rFonts w:ascii="宋体" w:cs="Times New Roman"/>
      <w:sz w:val="18"/>
    </w:rPr>
  </w:style>
  <w:style w:type="character" w:customStyle="1" w:styleId="45">
    <w:name w:val="Body Text 3 Char"/>
    <w:basedOn w:val="30"/>
    <w:link w:val="13"/>
    <w:qFormat/>
    <w:locked/>
    <w:uiPriority w:val="99"/>
    <w:rPr>
      <w:rFonts w:eastAsia="宋体" w:cs="Times New Roman"/>
      <w:sz w:val="16"/>
      <w:lang w:val="en-US" w:eastAsia="zh-CN"/>
    </w:rPr>
  </w:style>
  <w:style w:type="character" w:customStyle="1" w:styleId="46">
    <w:name w:val="Body Text Indent Char"/>
    <w:basedOn w:val="30"/>
    <w:link w:val="14"/>
    <w:semiHidden/>
    <w:qFormat/>
    <w:locked/>
    <w:uiPriority w:val="99"/>
    <w:rPr>
      <w:rFonts w:cs="Times New Roman"/>
      <w:kern w:val="0"/>
      <w:sz w:val="20"/>
      <w:szCs w:val="20"/>
    </w:rPr>
  </w:style>
  <w:style w:type="character" w:customStyle="1" w:styleId="47">
    <w:name w:val="Plain Text Char"/>
    <w:basedOn w:val="30"/>
    <w:link w:val="15"/>
    <w:qFormat/>
    <w:locked/>
    <w:uiPriority w:val="99"/>
    <w:rPr>
      <w:rFonts w:ascii="宋体" w:hAnsi="Courier New" w:eastAsia="宋体" w:cs="Times New Roman"/>
      <w:kern w:val="0"/>
      <w:sz w:val="21"/>
    </w:rPr>
  </w:style>
  <w:style w:type="character" w:customStyle="1" w:styleId="48">
    <w:name w:val="Date Char"/>
    <w:basedOn w:val="30"/>
    <w:link w:val="16"/>
    <w:semiHidden/>
    <w:qFormat/>
    <w:locked/>
    <w:uiPriority w:val="99"/>
    <w:rPr>
      <w:rFonts w:cs="Times New Roman"/>
      <w:kern w:val="0"/>
      <w:sz w:val="20"/>
      <w:szCs w:val="20"/>
    </w:rPr>
  </w:style>
  <w:style w:type="character" w:customStyle="1" w:styleId="49">
    <w:name w:val="Body Text Indent 2 Char"/>
    <w:basedOn w:val="30"/>
    <w:link w:val="17"/>
    <w:semiHidden/>
    <w:qFormat/>
    <w:locked/>
    <w:uiPriority w:val="99"/>
    <w:rPr>
      <w:rFonts w:cs="Times New Roman"/>
      <w:kern w:val="0"/>
      <w:sz w:val="20"/>
      <w:szCs w:val="20"/>
    </w:rPr>
  </w:style>
  <w:style w:type="character" w:customStyle="1" w:styleId="50">
    <w:name w:val="Balloon Text Char"/>
    <w:basedOn w:val="30"/>
    <w:link w:val="18"/>
    <w:semiHidden/>
    <w:qFormat/>
    <w:locked/>
    <w:uiPriority w:val="99"/>
    <w:rPr>
      <w:rFonts w:cs="Times New Roman"/>
      <w:kern w:val="0"/>
      <w:sz w:val="2"/>
    </w:rPr>
  </w:style>
  <w:style w:type="character" w:customStyle="1" w:styleId="51">
    <w:name w:val="Footer Char"/>
    <w:basedOn w:val="30"/>
    <w:link w:val="19"/>
    <w:qFormat/>
    <w:locked/>
    <w:uiPriority w:val="99"/>
    <w:rPr>
      <w:rFonts w:eastAsia="宋体" w:cs="Times New Roman"/>
      <w:sz w:val="18"/>
      <w:lang w:val="en-US" w:eastAsia="zh-CN"/>
    </w:rPr>
  </w:style>
  <w:style w:type="character" w:customStyle="1" w:styleId="52">
    <w:name w:val="Header Char"/>
    <w:basedOn w:val="30"/>
    <w:link w:val="20"/>
    <w:qFormat/>
    <w:locked/>
    <w:uiPriority w:val="99"/>
    <w:rPr>
      <w:rFonts w:cs="Times New Roman"/>
      <w:sz w:val="18"/>
    </w:rPr>
  </w:style>
  <w:style w:type="character" w:customStyle="1" w:styleId="53">
    <w:name w:val="Normal Indent Char"/>
    <w:qFormat/>
    <w:locked/>
    <w:uiPriority w:val="99"/>
    <w:rPr>
      <w:rFonts w:ascii="Times New Roman" w:hAnsi="Times New Roman" w:eastAsia="宋体"/>
      <w:kern w:val="0"/>
      <w:sz w:val="20"/>
    </w:rPr>
  </w:style>
  <w:style w:type="character" w:customStyle="1" w:styleId="54">
    <w:name w:val="Normal Indent Char1"/>
    <w:link w:val="9"/>
    <w:qFormat/>
    <w:locked/>
    <w:uiPriority w:val="99"/>
    <w:rPr>
      <w:rFonts w:ascii="宋体" w:eastAsia="宋体"/>
      <w:snapToGrid w:val="0"/>
      <w:color w:val="000000"/>
      <w:sz w:val="21"/>
      <w:lang w:val="en-US" w:eastAsia="zh-CN"/>
    </w:rPr>
  </w:style>
  <w:style w:type="character" w:customStyle="1" w:styleId="55">
    <w:name w:val="font01"/>
    <w:basedOn w:val="30"/>
    <w:qFormat/>
    <w:uiPriority w:val="99"/>
    <w:rPr>
      <w:rFonts w:ascii="宋体" w:hAnsi="宋体" w:eastAsia="宋体"/>
      <w:color w:val="000000"/>
      <w:sz w:val="24"/>
      <w:u w:val="none"/>
    </w:rPr>
  </w:style>
  <w:style w:type="character" w:customStyle="1" w:styleId="56">
    <w:name w:val="Plain Text Char1"/>
    <w:link w:val="15"/>
    <w:qFormat/>
    <w:locked/>
    <w:uiPriority w:val="99"/>
    <w:rPr>
      <w:rFonts w:ascii="宋体" w:hAnsi="Courier New" w:eastAsia="宋体"/>
      <w:kern w:val="2"/>
      <w:sz w:val="21"/>
      <w:lang w:val="en-US" w:eastAsia="zh-CN"/>
    </w:rPr>
  </w:style>
  <w:style w:type="character" w:customStyle="1" w:styleId="57">
    <w:name w:val="style81"/>
    <w:qFormat/>
    <w:uiPriority w:val="99"/>
    <w:rPr>
      <w:sz w:val="21"/>
    </w:rPr>
  </w:style>
  <w:style w:type="character" w:customStyle="1" w:styleId="58">
    <w:name w:val="Header Char1"/>
    <w:link w:val="20"/>
    <w:qFormat/>
    <w:locked/>
    <w:uiPriority w:val="99"/>
    <w:rPr>
      <w:rFonts w:eastAsia="宋体"/>
      <w:sz w:val="18"/>
      <w:lang w:val="en-US" w:eastAsia="zh-CN"/>
    </w:rPr>
  </w:style>
  <w:style w:type="paragraph" w:customStyle="1" w:styleId="59">
    <w:name w:val="_Style 10"/>
    <w:basedOn w:val="1"/>
    <w:qFormat/>
    <w:uiPriority w:val="99"/>
    <w:pPr>
      <w:spacing w:after="160" w:line="240" w:lineRule="exact"/>
    </w:pPr>
    <w:rPr>
      <w:rFonts w:ascii="Verdana" w:hAnsi="Verdana"/>
      <w:lang w:eastAsia="en-US"/>
    </w:rPr>
  </w:style>
  <w:style w:type="paragraph" w:customStyle="1" w:styleId="60">
    <w:name w:val="0段落文字"/>
    <w:basedOn w:val="1"/>
    <w:qFormat/>
    <w:uiPriority w:val="99"/>
    <w:pPr>
      <w:spacing w:line="360" w:lineRule="auto"/>
      <w:ind w:firstLine="200" w:firstLineChars="200"/>
    </w:pPr>
    <w:rPr>
      <w:sz w:val="24"/>
      <w:szCs w:val="21"/>
    </w:rPr>
  </w:style>
  <w:style w:type="paragraph" w:customStyle="1" w:styleId="61">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_正文段落"/>
    <w:basedOn w:val="1"/>
    <w:qFormat/>
    <w:uiPriority w:val="99"/>
    <w:pPr>
      <w:spacing w:line="360" w:lineRule="auto"/>
      <w:ind w:firstLine="480" w:firstLineChars="200"/>
    </w:pPr>
    <w:rPr>
      <w:rFonts w:ascii="宋体" w:hAnsi="宋体"/>
      <w:sz w:val="24"/>
    </w:rPr>
  </w:style>
  <w:style w:type="paragraph" w:customStyle="1" w:styleId="64">
    <w:name w:val="列出段落1"/>
    <w:basedOn w:val="1"/>
    <w:qFormat/>
    <w:uiPriority w:val="99"/>
    <w:pPr>
      <w:widowControl w:val="0"/>
      <w:ind w:firstLine="420" w:firstLineChars="200"/>
      <w:jc w:val="both"/>
    </w:pPr>
    <w:rPr>
      <w:rFonts w:ascii="Calibri" w:hAnsi="Calibri"/>
      <w:kern w:val="2"/>
      <w:szCs w:val="22"/>
    </w:rPr>
  </w:style>
  <w:style w:type="paragraph" w:customStyle="1" w:styleId="65">
    <w:name w:val="表格文字"/>
    <w:basedOn w:val="1"/>
    <w:qFormat/>
    <w:uiPriority w:val="99"/>
    <w:pPr>
      <w:widowControl w:val="0"/>
      <w:spacing w:before="25" w:after="25"/>
    </w:pPr>
    <w:rPr>
      <w:bCs/>
      <w:spacing w:val="10"/>
      <w:sz w:val="24"/>
    </w:rPr>
  </w:style>
  <w:style w:type="paragraph" w:customStyle="1" w:styleId="66">
    <w:name w:val="Char1"/>
    <w:basedOn w:val="1"/>
    <w:qFormat/>
    <w:uiPriority w:val="99"/>
    <w:pPr>
      <w:spacing w:after="160" w:line="240" w:lineRule="exact"/>
    </w:pPr>
    <w:rPr>
      <w:rFonts w:ascii="Verdana" w:hAnsi="Verdana"/>
      <w:lang w:eastAsia="en-US"/>
    </w:rPr>
  </w:style>
  <w:style w:type="paragraph" w:customStyle="1" w:styleId="67">
    <w:name w:val="题注5"/>
    <w:basedOn w:val="1"/>
    <w:next w:val="10"/>
    <w:qFormat/>
    <w:uiPriority w:val="99"/>
    <w:pPr>
      <w:widowControl w:val="0"/>
      <w:jc w:val="center"/>
    </w:pPr>
    <w:rPr>
      <w:b/>
      <w:color w:val="000000"/>
      <w:kern w:val="2"/>
      <w:sz w:val="24"/>
      <w:szCs w:val="21"/>
    </w:rPr>
  </w:style>
  <w:style w:type="paragraph" w:customStyle="1" w:styleId="68">
    <w:name w:val="列出段落2"/>
    <w:basedOn w:val="1"/>
    <w:qFormat/>
    <w:uiPriority w:val="99"/>
    <w:pPr>
      <w:widowControl w:val="0"/>
      <w:ind w:firstLine="420" w:firstLineChars="200"/>
      <w:jc w:val="both"/>
    </w:pPr>
    <w:rPr>
      <w:rFonts w:ascii="Calibri" w:hAnsi="Calibri"/>
      <w:kern w:val="2"/>
      <w:szCs w:val="22"/>
    </w:rPr>
  </w:style>
  <w:style w:type="paragraph" w:customStyle="1" w:styleId="69">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70">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1">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2">
    <w:name w:val=" Char Char11"/>
    <w:basedOn w:val="30"/>
    <w:qFormat/>
    <w:uiPriority w:val="0"/>
    <w:rPr>
      <w:rFonts w:ascii="Verdana" w:hAnsi="Verdana"/>
      <w:lang w:eastAsia="en-US"/>
    </w:rPr>
  </w:style>
  <w:style w:type="paragraph" w:customStyle="1" w:styleId="73">
    <w:name w:val="Table Paragraph"/>
    <w:basedOn w:val="1"/>
    <w:qFormat/>
    <w:uiPriority w:val="1"/>
  </w:style>
  <w:style w:type="paragraph" w:styleId="74">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5">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6">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7">
    <w:name w:val="标题 1 New"/>
    <w:next w:val="78"/>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7 New"/>
    <w:next w:val="78"/>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80">
    <w:name w:val="样式 首行缩进:  2 字符"/>
    <w:basedOn w:val="1"/>
    <w:qFormat/>
    <w:uiPriority w:val="0"/>
    <w:pPr>
      <w:autoSpaceDE/>
      <w:autoSpaceDN/>
      <w:adjustRightInd/>
      <w:spacing w:line="360" w:lineRule="auto"/>
      <w:ind w:firstLine="582" w:firstLineChars="200"/>
      <w:jc w:val="both"/>
    </w:pPr>
    <w:rPr>
      <w:rFonts w:eastAsia="仿宋_GB2312" w:cs="宋体"/>
      <w:kern w:val="10"/>
      <w:sz w:val="28"/>
      <w:szCs w:val="28"/>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font91"/>
    <w:basedOn w:val="30"/>
    <w:qFormat/>
    <w:uiPriority w:val="0"/>
    <w:rPr>
      <w:rFonts w:hint="default" w:ascii="Arial" w:hAnsi="Arial" w:cs="Arial"/>
      <w:color w:val="000000"/>
      <w:sz w:val="24"/>
      <w:szCs w:val="24"/>
      <w:u w:val="none"/>
    </w:rPr>
  </w:style>
  <w:style w:type="character" w:customStyle="1" w:styleId="83">
    <w:name w:val="font112"/>
    <w:basedOn w:val="30"/>
    <w:qFormat/>
    <w:uiPriority w:val="0"/>
    <w:rPr>
      <w:rFonts w:hint="default" w:ascii="Arial" w:hAnsi="Arial" w:cs="Arial"/>
      <w:color w:val="000000"/>
      <w:sz w:val="22"/>
      <w:szCs w:val="22"/>
      <w:u w:val="none"/>
    </w:rPr>
  </w:style>
  <w:style w:type="character" w:customStyle="1" w:styleId="84">
    <w:name w:val="font21"/>
    <w:basedOn w:val="30"/>
    <w:qFormat/>
    <w:uiPriority w:val="0"/>
    <w:rPr>
      <w:rFonts w:hint="eastAsia" w:ascii="宋体" w:hAnsi="宋体" w:eastAsia="宋体" w:cs="宋体"/>
      <w:color w:val="000000"/>
      <w:sz w:val="16"/>
      <w:szCs w:val="16"/>
      <w:u w:val="none"/>
    </w:rPr>
  </w:style>
  <w:style w:type="character" w:customStyle="1" w:styleId="85">
    <w:name w:val="font101"/>
    <w:basedOn w:val="30"/>
    <w:qFormat/>
    <w:uiPriority w:val="0"/>
    <w:rPr>
      <w:rFonts w:hint="eastAsia" w:ascii="宋体" w:hAnsi="宋体" w:eastAsia="宋体" w:cs="宋体"/>
      <w:color w:val="000000"/>
      <w:sz w:val="10"/>
      <w:szCs w:val="10"/>
      <w:u w:val="none"/>
    </w:rPr>
  </w:style>
  <w:style w:type="character" w:customStyle="1" w:styleId="86">
    <w:name w:val="font51"/>
    <w:basedOn w:val="30"/>
    <w:qFormat/>
    <w:uiPriority w:val="0"/>
    <w:rPr>
      <w:rFonts w:hint="eastAsia" w:ascii="宋体" w:hAnsi="宋体" w:eastAsia="宋体" w:cs="宋体"/>
      <w:color w:val="000000"/>
      <w:sz w:val="18"/>
      <w:szCs w:val="18"/>
      <w:u w:val="none"/>
    </w:rPr>
  </w:style>
  <w:style w:type="character" w:customStyle="1" w:styleId="87">
    <w:name w:val="font121"/>
    <w:basedOn w:val="30"/>
    <w:qFormat/>
    <w:uiPriority w:val="0"/>
    <w:rPr>
      <w:rFonts w:hint="default" w:ascii="Arial" w:hAnsi="Arial" w:cs="Arial"/>
      <w:color w:val="000000"/>
      <w:sz w:val="24"/>
      <w:szCs w:val="24"/>
      <w:u w:val="none"/>
    </w:rPr>
  </w:style>
  <w:style w:type="character" w:customStyle="1" w:styleId="88">
    <w:name w:val="font131"/>
    <w:basedOn w:val="30"/>
    <w:qFormat/>
    <w:uiPriority w:val="0"/>
    <w:rPr>
      <w:rFonts w:hint="default" w:ascii="Arial" w:hAnsi="Arial" w:cs="Arial"/>
      <w:color w:val="000000"/>
      <w:sz w:val="18"/>
      <w:szCs w:val="18"/>
      <w:u w:val="none"/>
    </w:rPr>
  </w:style>
  <w:style w:type="character" w:customStyle="1" w:styleId="89">
    <w:name w:val="font31"/>
    <w:basedOn w:val="30"/>
    <w:qFormat/>
    <w:uiPriority w:val="0"/>
    <w:rPr>
      <w:rFonts w:hint="eastAsia" w:ascii="宋体" w:hAnsi="宋体" w:eastAsia="宋体" w:cs="宋体"/>
      <w:color w:val="000000"/>
      <w:sz w:val="16"/>
      <w:szCs w:val="16"/>
      <w:u w:val="none"/>
    </w:rPr>
  </w:style>
  <w:style w:type="character" w:customStyle="1" w:styleId="90">
    <w:name w:val="font11"/>
    <w:basedOn w:val="30"/>
    <w:qFormat/>
    <w:uiPriority w:val="0"/>
    <w:rPr>
      <w:rFonts w:hint="eastAsia" w:ascii="宋体" w:hAnsi="宋体" w:eastAsia="宋体" w:cs="宋体"/>
      <w:color w:val="000000"/>
      <w:sz w:val="18"/>
      <w:szCs w:val="18"/>
      <w:u w:val="none"/>
    </w:rPr>
  </w:style>
  <w:style w:type="paragraph" w:customStyle="1" w:styleId="91">
    <w:name w:val="表格5号字"/>
    <w:basedOn w:val="1"/>
    <w:qFormat/>
    <w:uiPriority w:val="0"/>
    <w:pPr>
      <w:snapToGrid w:val="0"/>
      <w:spacing w:before="31" w:beforeLines="10" w:after="31" w:afterLines="10"/>
      <w:jc w:val="center"/>
      <w:textAlignment w:val="center"/>
    </w:pPr>
    <w:rPr>
      <w:rFonts w:cs="宋体"/>
      <w:sz w:val="21"/>
      <w:szCs w:val="24"/>
    </w:rPr>
  </w:style>
  <w:style w:type="paragraph" w:customStyle="1" w:styleId="92">
    <w:name w:val="灬图"/>
    <w:basedOn w:val="1"/>
    <w:qFormat/>
    <w:uiPriority w:val="0"/>
    <w:pPr>
      <w:spacing w:line="276" w:lineRule="auto"/>
      <w:jc w:val="left"/>
    </w:pPr>
    <w:rPr>
      <w:rFonts w:ascii="Calibri" w:hAnsi="Calibri" w:eastAsia="仿宋"/>
      <w:szCs w:val="22"/>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ody text|1"/>
    <w:basedOn w:val="1"/>
    <w:qFormat/>
    <w:uiPriority w:val="0"/>
    <w:pPr>
      <w:widowControl w:val="0"/>
      <w:shd w:val="clear" w:color="auto" w:fill="auto"/>
      <w:spacing w:line="329" w:lineRule="auto"/>
      <w:ind w:firstLine="400"/>
    </w:pPr>
    <w:rPr>
      <w:rFonts w:ascii="MingLiU" w:hAnsi="MingLiU" w:eastAsia="MingLiU" w:cs="MingLiU"/>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63</Pages>
  <Words>26351</Words>
  <Characters>28792</Characters>
  <Lines>0</Lines>
  <Paragraphs>0</Paragraphs>
  <TotalTime>9</TotalTime>
  <ScaleCrop>false</ScaleCrop>
  <LinksUpToDate>false</LinksUpToDate>
  <CharactersWithSpaces>32926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粤东机关枪</cp:lastModifiedBy>
  <cp:lastPrinted>2020-04-01T02:40:00Z</cp:lastPrinted>
  <dcterms:modified xsi:type="dcterms:W3CDTF">2021-01-13T03:56:47Z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